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diagrams/quickStyle1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Default Extension="jpeg" ContentType="image/jpeg"/>
  <Default Extension="emf" ContentType="image/x-emf"/>
  <Override PartName="/word/diagrams/colors1.xml" ContentType="application/vnd.openxmlformats-officedocument.drawingml.diagramColor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drawings/drawing3.xml" ContentType="application/vnd.openxmlformats-officedocument.drawingml.chartshapes+xml"/>
  <Override PartName="/word/drawings/drawing4.xml" ContentType="application/vnd.openxmlformats-officedocument.drawingml.chartshap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rawings/drawing1.xml" ContentType="application/vnd.openxmlformats-officedocument.drawingml.chartshapes+xml"/>
  <Override PartName="/word/drawings/drawing2.xml" ContentType="application/vnd.openxmlformats-officedocument.drawingml.chartshapes+xml"/>
  <Override PartName="/word/diagrams/drawing1.xml" ContentType="application/vnd.ms-office.drawingml.diagramDrawing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Default Extension="xlsx" ContentType="application/vnd.openxmlformats-officedocument.spreadsheetml.sheet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Default Extension="sldx" ContentType="application/vnd.openxmlformats-officedocument.presentationml.slide"/>
  <Override PartName="/word/diagrams/layout1.xml" ContentType="application/vnd.openxmlformats-officedocument.drawingml.diagramLayou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6C5A" w:rsidRDefault="00C16C5A" w:rsidP="00F855BB">
      <w:pPr>
        <w:widowControl w:val="0"/>
        <w:jc w:val="right"/>
        <w:rPr>
          <w:rFonts w:ascii="Times New Roman" w:hAnsi="Times New Roman"/>
          <w:sz w:val="24"/>
          <w:szCs w:val="24"/>
        </w:rPr>
      </w:pPr>
    </w:p>
    <w:p w:rsidR="00C16C5A" w:rsidRDefault="00C16C5A" w:rsidP="00F855BB">
      <w:pPr>
        <w:widowControl w:val="0"/>
        <w:jc w:val="right"/>
        <w:rPr>
          <w:rFonts w:ascii="Times New Roman" w:hAnsi="Times New Roman"/>
          <w:sz w:val="24"/>
          <w:szCs w:val="24"/>
        </w:rPr>
      </w:pPr>
    </w:p>
    <w:p w:rsidR="00C16C5A" w:rsidRDefault="00C16C5A" w:rsidP="00F855BB">
      <w:pPr>
        <w:widowControl w:val="0"/>
        <w:jc w:val="right"/>
        <w:rPr>
          <w:rFonts w:ascii="Times New Roman" w:hAnsi="Times New Roman"/>
          <w:sz w:val="24"/>
          <w:szCs w:val="24"/>
        </w:rPr>
      </w:pPr>
    </w:p>
    <w:p w:rsidR="00C16C5A" w:rsidRDefault="00C16C5A" w:rsidP="00F855BB">
      <w:pPr>
        <w:widowControl w:val="0"/>
        <w:jc w:val="right"/>
        <w:rPr>
          <w:rFonts w:ascii="Times New Roman" w:hAnsi="Times New Roman"/>
          <w:sz w:val="24"/>
          <w:szCs w:val="24"/>
        </w:rPr>
      </w:pPr>
    </w:p>
    <w:p w:rsidR="00C16C5A" w:rsidRDefault="00C16C5A" w:rsidP="00F855BB">
      <w:pPr>
        <w:widowControl w:val="0"/>
        <w:jc w:val="right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правах рукописи</w:t>
      </w:r>
    </w:p>
    <w:p w:rsidR="00F855BB" w:rsidRDefault="00F855BB" w:rsidP="00F855BB">
      <w:pPr>
        <w:widowControl w:val="0"/>
        <w:jc w:val="right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257BFF" w:rsidP="00257BFF">
      <w:pPr>
        <w:widowControl w:val="0"/>
        <w:jc w:val="both"/>
        <w:rPr>
          <w:rFonts w:ascii="Times New Roman" w:hAnsi="Times New Roman"/>
          <w:sz w:val="24"/>
          <w:szCs w:val="24"/>
        </w:rPr>
      </w:pPr>
      <w:r w:rsidRPr="00354414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</w:t>
      </w:r>
      <w:r w:rsidR="00354414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319784" cy="518160"/>
            <wp:effectExtent l="19050" t="0" r="0" b="0"/>
            <wp:docPr id="16" name="Рисунок 15" descr="Подпис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дпись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9784" cy="51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0C7EE6" w:rsidRDefault="000C7EE6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0C7EE6" w:rsidRDefault="000C7EE6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0C7EE6" w:rsidRDefault="000C7EE6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C16C5A" w:rsidRDefault="00C16C5A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C16C5A" w:rsidRDefault="00C16C5A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Pr="000D1ED0" w:rsidRDefault="00F855BB" w:rsidP="00F855BB">
      <w:pPr>
        <w:widowControl w:val="0"/>
        <w:jc w:val="center"/>
        <w:rPr>
          <w:rFonts w:ascii="Times New Roman" w:hAnsi="Times New Roman"/>
          <w:sz w:val="28"/>
          <w:szCs w:val="28"/>
        </w:rPr>
      </w:pPr>
      <w:r w:rsidRPr="000D1ED0">
        <w:rPr>
          <w:rFonts w:ascii="Times New Roman" w:hAnsi="Times New Roman"/>
          <w:sz w:val="28"/>
          <w:szCs w:val="28"/>
        </w:rPr>
        <w:t>ЯКОВЕНКО Александра Александровна</w:t>
      </w:r>
    </w:p>
    <w:p w:rsidR="00F855BB" w:rsidRDefault="00F855BB" w:rsidP="00F855BB">
      <w:pPr>
        <w:widowControl w:val="0"/>
        <w:jc w:val="center"/>
        <w:rPr>
          <w:rFonts w:ascii="Times New Roman" w:hAnsi="Times New Roman"/>
          <w:b/>
          <w:sz w:val="28"/>
          <w:szCs w:val="28"/>
        </w:rPr>
      </w:pPr>
    </w:p>
    <w:p w:rsidR="00F855BB" w:rsidRDefault="00F855BB" w:rsidP="00F855BB">
      <w:pPr>
        <w:widowControl w:val="0"/>
        <w:jc w:val="center"/>
        <w:rPr>
          <w:rFonts w:ascii="Times New Roman" w:hAnsi="Times New Roman"/>
          <w:b/>
          <w:sz w:val="28"/>
          <w:szCs w:val="28"/>
        </w:rPr>
      </w:pPr>
    </w:p>
    <w:p w:rsidR="00F855BB" w:rsidRDefault="00F855BB" w:rsidP="00F855BB">
      <w:pPr>
        <w:widowControl w:val="0"/>
        <w:jc w:val="center"/>
        <w:rPr>
          <w:rFonts w:ascii="Times New Roman" w:hAnsi="Times New Roman"/>
          <w:b/>
          <w:sz w:val="28"/>
          <w:szCs w:val="28"/>
        </w:rPr>
      </w:pPr>
    </w:p>
    <w:p w:rsidR="00F855BB" w:rsidRDefault="00F855BB" w:rsidP="00F855BB">
      <w:pPr>
        <w:widowControl w:val="0"/>
        <w:jc w:val="center"/>
        <w:rPr>
          <w:rFonts w:ascii="Times New Roman" w:hAnsi="Times New Roman"/>
          <w:b/>
          <w:sz w:val="28"/>
          <w:szCs w:val="28"/>
        </w:rPr>
      </w:pPr>
    </w:p>
    <w:p w:rsidR="00C16C5A" w:rsidRDefault="00C16C5A" w:rsidP="00F855BB">
      <w:pPr>
        <w:widowControl w:val="0"/>
        <w:jc w:val="center"/>
        <w:rPr>
          <w:rFonts w:ascii="Times New Roman" w:hAnsi="Times New Roman"/>
          <w:b/>
          <w:sz w:val="28"/>
          <w:szCs w:val="28"/>
        </w:rPr>
      </w:pPr>
    </w:p>
    <w:p w:rsidR="00C16C5A" w:rsidRDefault="00C16C5A" w:rsidP="00F855BB">
      <w:pPr>
        <w:widowControl w:val="0"/>
        <w:jc w:val="center"/>
        <w:rPr>
          <w:rFonts w:ascii="Times New Roman" w:hAnsi="Times New Roman"/>
          <w:b/>
          <w:sz w:val="28"/>
          <w:szCs w:val="28"/>
        </w:rPr>
      </w:pPr>
    </w:p>
    <w:p w:rsidR="000D1ED0" w:rsidRDefault="00F855BB" w:rsidP="000D1ED0">
      <w:pPr>
        <w:widowControl w:val="0"/>
        <w:spacing w:line="36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0D1ED0">
        <w:rPr>
          <w:rFonts w:ascii="Times New Roman" w:hAnsi="Times New Roman"/>
          <w:b/>
          <w:caps/>
          <w:sz w:val="24"/>
          <w:szCs w:val="24"/>
        </w:rPr>
        <w:t xml:space="preserve">Механизмы и закономерности </w:t>
      </w:r>
    </w:p>
    <w:p w:rsidR="000D1ED0" w:rsidRDefault="00F855BB" w:rsidP="000D1ED0">
      <w:pPr>
        <w:widowControl w:val="0"/>
        <w:spacing w:line="36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0D1ED0">
        <w:rPr>
          <w:rFonts w:ascii="Times New Roman" w:hAnsi="Times New Roman"/>
          <w:b/>
          <w:caps/>
          <w:sz w:val="24"/>
          <w:szCs w:val="24"/>
        </w:rPr>
        <w:t xml:space="preserve">формирования деформационной и водородной </w:t>
      </w:r>
    </w:p>
    <w:p w:rsidR="00F855BB" w:rsidRPr="000D1ED0" w:rsidRDefault="00F855BB" w:rsidP="000D1ED0">
      <w:pPr>
        <w:widowControl w:val="0"/>
        <w:spacing w:line="36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0D1ED0">
        <w:rPr>
          <w:rFonts w:ascii="Times New Roman" w:hAnsi="Times New Roman"/>
          <w:b/>
          <w:caps/>
          <w:sz w:val="24"/>
          <w:szCs w:val="24"/>
        </w:rPr>
        <w:t>повреждаемости железоуглеродистых сплавов</w:t>
      </w:r>
    </w:p>
    <w:p w:rsidR="00F855BB" w:rsidRDefault="00F855BB" w:rsidP="00F855BB">
      <w:pPr>
        <w:widowControl w:val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F855BB" w:rsidRDefault="00F855BB" w:rsidP="00F855BB">
      <w:pPr>
        <w:widowControl w:val="0"/>
        <w:jc w:val="center"/>
        <w:rPr>
          <w:rFonts w:ascii="Times New Roman" w:hAnsi="Times New Roman"/>
          <w:b/>
          <w:sz w:val="24"/>
          <w:szCs w:val="24"/>
        </w:rPr>
      </w:pPr>
    </w:p>
    <w:p w:rsidR="00C16C5A" w:rsidRDefault="00C16C5A" w:rsidP="00F855BB">
      <w:pPr>
        <w:widowControl w:val="0"/>
        <w:jc w:val="center"/>
        <w:rPr>
          <w:rFonts w:ascii="Times New Roman" w:hAnsi="Times New Roman"/>
          <w:b/>
          <w:sz w:val="24"/>
          <w:szCs w:val="24"/>
        </w:rPr>
      </w:pPr>
    </w:p>
    <w:p w:rsidR="00C16C5A" w:rsidRDefault="00C16C5A" w:rsidP="00F855BB">
      <w:pPr>
        <w:widowControl w:val="0"/>
        <w:jc w:val="center"/>
        <w:rPr>
          <w:rFonts w:ascii="Times New Roman" w:hAnsi="Times New Roman"/>
          <w:b/>
          <w:sz w:val="24"/>
          <w:szCs w:val="24"/>
        </w:rPr>
      </w:pPr>
    </w:p>
    <w:p w:rsidR="00C16C5A" w:rsidRDefault="00C16C5A" w:rsidP="00F855BB">
      <w:pPr>
        <w:widowControl w:val="0"/>
        <w:jc w:val="center"/>
        <w:rPr>
          <w:rFonts w:ascii="Times New Roman" w:hAnsi="Times New Roman"/>
          <w:b/>
          <w:sz w:val="24"/>
          <w:szCs w:val="24"/>
        </w:rPr>
      </w:pPr>
    </w:p>
    <w:p w:rsidR="00C16C5A" w:rsidRDefault="00C16C5A" w:rsidP="00F855BB">
      <w:pPr>
        <w:widowControl w:val="0"/>
        <w:jc w:val="center"/>
        <w:rPr>
          <w:rFonts w:ascii="Times New Roman" w:hAnsi="Times New Roman"/>
          <w:b/>
          <w:sz w:val="24"/>
          <w:szCs w:val="24"/>
        </w:rPr>
      </w:pPr>
    </w:p>
    <w:p w:rsidR="00F855BB" w:rsidRPr="000D1ED0" w:rsidRDefault="000D1ED0" w:rsidP="000D1ED0">
      <w:pPr>
        <w:widowControl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F855BB" w:rsidRPr="000D1ED0">
        <w:rPr>
          <w:rFonts w:ascii="Times New Roman" w:hAnsi="Times New Roman"/>
          <w:sz w:val="24"/>
          <w:szCs w:val="24"/>
        </w:rPr>
        <w:t>05.16.01 – Металловедение и термическая обработка металлов и сплавов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Pr="00DC68E2" w:rsidRDefault="00F855BB" w:rsidP="00F855BB">
      <w:pPr>
        <w:widowControl w:val="0"/>
        <w:jc w:val="center"/>
        <w:rPr>
          <w:rFonts w:ascii="Times New Roman" w:hAnsi="Times New Roman"/>
          <w:b/>
          <w:sz w:val="24"/>
          <w:szCs w:val="24"/>
        </w:rPr>
      </w:pPr>
      <w:r w:rsidRPr="00DC68E2">
        <w:rPr>
          <w:rFonts w:ascii="Times New Roman" w:hAnsi="Times New Roman"/>
          <w:b/>
          <w:sz w:val="24"/>
          <w:szCs w:val="24"/>
        </w:rPr>
        <w:t>АВТОРЕФЕРАТ</w:t>
      </w:r>
    </w:p>
    <w:p w:rsidR="00F855BB" w:rsidRDefault="00F855BB" w:rsidP="00F855BB">
      <w:pPr>
        <w:widowControl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диссертации на соискание ученой степени</w:t>
      </w:r>
    </w:p>
    <w:p w:rsidR="00F855BB" w:rsidRDefault="00F855BB" w:rsidP="00F855BB">
      <w:pPr>
        <w:widowControl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кандидата технических наук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C16C5A" w:rsidRDefault="00C16C5A" w:rsidP="00F855BB">
      <w:pPr>
        <w:widowControl w:val="0"/>
        <w:jc w:val="center"/>
        <w:rPr>
          <w:rFonts w:ascii="Times New Roman" w:hAnsi="Times New Roman"/>
          <w:b/>
          <w:sz w:val="24"/>
          <w:szCs w:val="24"/>
        </w:rPr>
      </w:pPr>
    </w:p>
    <w:p w:rsidR="00354414" w:rsidRDefault="00354414" w:rsidP="00F855BB">
      <w:pPr>
        <w:widowControl w:val="0"/>
        <w:jc w:val="center"/>
        <w:rPr>
          <w:rFonts w:ascii="Times New Roman" w:hAnsi="Times New Roman"/>
          <w:sz w:val="24"/>
          <w:szCs w:val="24"/>
        </w:rPr>
      </w:pPr>
    </w:p>
    <w:p w:rsidR="00354414" w:rsidRDefault="00354414" w:rsidP="00F855BB">
      <w:pPr>
        <w:widowControl w:val="0"/>
        <w:jc w:val="center"/>
        <w:rPr>
          <w:rFonts w:ascii="Times New Roman" w:hAnsi="Times New Roman"/>
          <w:sz w:val="24"/>
          <w:szCs w:val="24"/>
        </w:rPr>
      </w:pPr>
    </w:p>
    <w:p w:rsidR="00F855BB" w:rsidRPr="000D1ED0" w:rsidRDefault="00955838" w:rsidP="00F855BB">
      <w:pPr>
        <w:widowControl w:val="0"/>
        <w:jc w:val="center"/>
        <w:rPr>
          <w:rFonts w:ascii="Times New Roman" w:hAnsi="Times New Roman"/>
          <w:sz w:val="24"/>
          <w:szCs w:val="24"/>
        </w:rPr>
      </w:pPr>
      <w:r w:rsidRPr="000D1ED0">
        <w:rPr>
          <w:rFonts w:ascii="Times New Roman" w:hAnsi="Times New Roman"/>
          <w:sz w:val="24"/>
          <w:szCs w:val="24"/>
        </w:rPr>
        <w:t>Курск</w:t>
      </w:r>
      <w:r w:rsidR="00F855BB" w:rsidRPr="000D1ED0">
        <w:rPr>
          <w:rFonts w:ascii="Times New Roman" w:hAnsi="Times New Roman"/>
          <w:sz w:val="24"/>
          <w:szCs w:val="24"/>
        </w:rPr>
        <w:t xml:space="preserve"> </w:t>
      </w:r>
      <w:r w:rsidR="00A45954">
        <w:rPr>
          <w:rFonts w:ascii="Times New Roman" w:hAnsi="Times New Roman"/>
          <w:sz w:val="24"/>
          <w:szCs w:val="24"/>
        </w:rPr>
        <w:t xml:space="preserve">– </w:t>
      </w:r>
      <w:r w:rsidR="00F855BB" w:rsidRPr="000D1ED0">
        <w:rPr>
          <w:rFonts w:ascii="Times New Roman" w:hAnsi="Times New Roman"/>
          <w:sz w:val="24"/>
          <w:szCs w:val="24"/>
        </w:rPr>
        <w:t>2012</w:t>
      </w:r>
    </w:p>
    <w:p w:rsidR="00F855BB" w:rsidRDefault="002C4031" w:rsidP="00282EFB">
      <w:pPr>
        <w:widowControl w:val="0"/>
        <w:tabs>
          <w:tab w:val="left" w:pos="0"/>
        </w:tabs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7" type="#_x0000_t202" style="position:absolute;left:0;text-align:left;margin-left:151.7pt;margin-top:-26.1pt;width:191.9pt;height:21.4pt;z-index:251683840;mso-width-percent:400;mso-height-percent:200;mso-width-percent:400;mso-height-percent:200;mso-width-relative:margin;mso-height-relative:margin" stroked="f">
            <v:textbox style="mso-fit-shape-to-text:t">
              <w:txbxContent>
                <w:p w:rsidR="00A45954" w:rsidRDefault="00A45954"/>
              </w:txbxContent>
            </v:textbox>
          </v:shape>
        </w:pict>
      </w:r>
      <w:r w:rsidR="00F855BB">
        <w:rPr>
          <w:rFonts w:ascii="Times New Roman" w:hAnsi="Times New Roman"/>
          <w:sz w:val="24"/>
          <w:szCs w:val="24"/>
        </w:rPr>
        <w:t xml:space="preserve">Работа выполнена </w:t>
      </w:r>
      <w:r w:rsidR="00BC06ED">
        <w:rPr>
          <w:rFonts w:ascii="Times New Roman" w:hAnsi="Times New Roman"/>
          <w:sz w:val="24"/>
          <w:szCs w:val="24"/>
        </w:rPr>
        <w:t>в</w:t>
      </w:r>
      <w:r w:rsidR="000D1ED0">
        <w:rPr>
          <w:rFonts w:ascii="Times New Roman" w:hAnsi="Times New Roman"/>
          <w:sz w:val="24"/>
          <w:szCs w:val="24"/>
        </w:rPr>
        <w:t xml:space="preserve"> </w:t>
      </w:r>
      <w:r w:rsidR="00B04EA0">
        <w:rPr>
          <w:rFonts w:ascii="Times New Roman" w:hAnsi="Times New Roman"/>
          <w:sz w:val="24"/>
          <w:szCs w:val="24"/>
        </w:rPr>
        <w:t>ф</w:t>
      </w:r>
      <w:r w:rsidR="000D1ED0">
        <w:rPr>
          <w:rFonts w:ascii="Times New Roman" w:hAnsi="Times New Roman"/>
          <w:sz w:val="24"/>
          <w:szCs w:val="24"/>
        </w:rPr>
        <w:t xml:space="preserve">едеральном государственном бюджетном образовательном учреждении высшего профессионального образования </w:t>
      </w:r>
      <w:r w:rsidR="005D15BE">
        <w:rPr>
          <w:rFonts w:ascii="Times New Roman" w:hAnsi="Times New Roman"/>
          <w:sz w:val="24"/>
          <w:szCs w:val="24"/>
        </w:rPr>
        <w:t>«</w:t>
      </w:r>
      <w:r w:rsidR="00F855BB">
        <w:rPr>
          <w:rFonts w:ascii="Times New Roman" w:hAnsi="Times New Roman"/>
          <w:sz w:val="24"/>
          <w:szCs w:val="24"/>
        </w:rPr>
        <w:t>Тульск</w:t>
      </w:r>
      <w:r w:rsidR="005D15BE">
        <w:rPr>
          <w:rFonts w:ascii="Times New Roman" w:hAnsi="Times New Roman"/>
          <w:sz w:val="24"/>
          <w:szCs w:val="24"/>
        </w:rPr>
        <w:t>ий</w:t>
      </w:r>
      <w:r w:rsidR="00F855BB">
        <w:rPr>
          <w:rFonts w:ascii="Times New Roman" w:hAnsi="Times New Roman"/>
          <w:sz w:val="24"/>
          <w:szCs w:val="24"/>
        </w:rPr>
        <w:t xml:space="preserve"> государственн</w:t>
      </w:r>
      <w:r w:rsidR="005D15BE">
        <w:rPr>
          <w:rFonts w:ascii="Times New Roman" w:hAnsi="Times New Roman"/>
          <w:sz w:val="24"/>
          <w:szCs w:val="24"/>
        </w:rPr>
        <w:t>ый</w:t>
      </w:r>
      <w:r w:rsidR="00F855BB">
        <w:rPr>
          <w:rFonts w:ascii="Times New Roman" w:hAnsi="Times New Roman"/>
          <w:sz w:val="24"/>
          <w:szCs w:val="24"/>
        </w:rPr>
        <w:t xml:space="preserve"> университет</w:t>
      </w:r>
      <w:r w:rsidR="005D15BE">
        <w:rPr>
          <w:rFonts w:ascii="Times New Roman" w:hAnsi="Times New Roman"/>
          <w:sz w:val="24"/>
          <w:szCs w:val="24"/>
        </w:rPr>
        <w:t>»</w:t>
      </w:r>
    </w:p>
    <w:p w:rsidR="00F855BB" w:rsidRDefault="00F855BB" w:rsidP="00F855BB">
      <w:pPr>
        <w:widowControl w:val="0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rPr>
          <w:rFonts w:ascii="Times New Roman" w:hAnsi="Times New Roman"/>
          <w:sz w:val="24"/>
          <w:szCs w:val="24"/>
        </w:rPr>
      </w:pPr>
    </w:p>
    <w:p w:rsidR="00BC06ED" w:rsidRDefault="00F855BB" w:rsidP="00FB4096">
      <w:pPr>
        <w:widowControl w:val="0"/>
        <w:tabs>
          <w:tab w:val="left" w:pos="4111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Научный руководитель:      </w:t>
      </w:r>
      <w:r w:rsidR="00DC68E2">
        <w:rPr>
          <w:rFonts w:ascii="Times New Roman" w:hAnsi="Times New Roman"/>
          <w:sz w:val="24"/>
          <w:szCs w:val="24"/>
        </w:rPr>
        <w:t xml:space="preserve">                  </w:t>
      </w:r>
      <w:r w:rsidR="00FB4096" w:rsidRPr="00FB4096">
        <w:rPr>
          <w:rFonts w:ascii="Times New Roman" w:hAnsi="Times New Roman"/>
          <w:sz w:val="24"/>
          <w:szCs w:val="24"/>
        </w:rPr>
        <w:t xml:space="preserve"> </w:t>
      </w:r>
      <w:r w:rsidR="00DC68E2">
        <w:rPr>
          <w:rFonts w:ascii="Times New Roman" w:hAnsi="Times New Roman"/>
          <w:sz w:val="24"/>
          <w:szCs w:val="24"/>
        </w:rPr>
        <w:t xml:space="preserve">  </w:t>
      </w:r>
      <w:r w:rsidR="00BC06ED">
        <w:rPr>
          <w:rFonts w:ascii="Times New Roman" w:hAnsi="Times New Roman"/>
          <w:sz w:val="24"/>
          <w:szCs w:val="24"/>
        </w:rPr>
        <w:t xml:space="preserve">доктор технических наук, </w:t>
      </w:r>
      <w:r w:rsidR="00CA6011">
        <w:rPr>
          <w:rFonts w:ascii="Times New Roman" w:hAnsi="Times New Roman"/>
          <w:sz w:val="24"/>
          <w:szCs w:val="24"/>
        </w:rPr>
        <w:t>доцент</w:t>
      </w:r>
      <w:r w:rsidR="00BC06ED">
        <w:rPr>
          <w:rFonts w:ascii="Times New Roman" w:hAnsi="Times New Roman"/>
          <w:sz w:val="24"/>
          <w:szCs w:val="24"/>
        </w:rPr>
        <w:t xml:space="preserve">, </w:t>
      </w:r>
    </w:p>
    <w:p w:rsidR="00F855BB" w:rsidRDefault="00BC06ED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</w:t>
      </w:r>
      <w:r w:rsidR="00DC68E2">
        <w:rPr>
          <w:rFonts w:ascii="Times New Roman" w:hAnsi="Times New Roman"/>
          <w:sz w:val="24"/>
          <w:szCs w:val="24"/>
        </w:rPr>
        <w:t xml:space="preserve">                  </w:t>
      </w:r>
      <w:r w:rsidR="00FB4096" w:rsidRPr="00FB4096">
        <w:rPr>
          <w:rFonts w:ascii="Times New Roman" w:hAnsi="Times New Roman"/>
          <w:sz w:val="24"/>
          <w:szCs w:val="24"/>
        </w:rPr>
        <w:t xml:space="preserve"> </w:t>
      </w:r>
      <w:r w:rsidR="00DC68E2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>Чуканов Александр Николаевич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tabs>
          <w:tab w:val="left" w:pos="4962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DC68E2" w:rsidRDefault="00F855BB" w:rsidP="00FB4096">
      <w:pPr>
        <w:widowControl w:val="0"/>
        <w:tabs>
          <w:tab w:val="left" w:pos="4111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="00BC06ED">
        <w:rPr>
          <w:rFonts w:ascii="Times New Roman" w:hAnsi="Times New Roman"/>
          <w:sz w:val="24"/>
          <w:szCs w:val="24"/>
        </w:rPr>
        <w:t xml:space="preserve">фициальные оппоненты:  </w:t>
      </w:r>
      <w:r>
        <w:rPr>
          <w:rFonts w:ascii="Times New Roman" w:hAnsi="Times New Roman"/>
          <w:sz w:val="24"/>
          <w:szCs w:val="24"/>
        </w:rPr>
        <w:t xml:space="preserve">  </w:t>
      </w:r>
      <w:r w:rsidR="00DC68E2">
        <w:rPr>
          <w:rFonts w:ascii="Times New Roman" w:hAnsi="Times New Roman"/>
          <w:sz w:val="24"/>
          <w:szCs w:val="24"/>
        </w:rPr>
        <w:t xml:space="preserve">              </w:t>
      </w:r>
      <w:r w:rsidR="000123EB" w:rsidRPr="000123EB">
        <w:rPr>
          <w:rFonts w:ascii="Times New Roman" w:hAnsi="Times New Roman"/>
          <w:sz w:val="24"/>
          <w:szCs w:val="24"/>
        </w:rPr>
        <w:t xml:space="preserve"> </w:t>
      </w:r>
      <w:r w:rsidR="00DC68E2">
        <w:rPr>
          <w:rFonts w:ascii="Times New Roman" w:hAnsi="Times New Roman"/>
          <w:sz w:val="24"/>
          <w:szCs w:val="24"/>
        </w:rPr>
        <w:t xml:space="preserve">   </w:t>
      </w:r>
      <w:r w:rsidR="00CA6011">
        <w:rPr>
          <w:rFonts w:ascii="Times New Roman" w:hAnsi="Times New Roman"/>
          <w:sz w:val="24"/>
          <w:szCs w:val="24"/>
        </w:rPr>
        <w:t>Выбойщик Михаил Александрович</w:t>
      </w:r>
      <w:r w:rsidR="00DC68E2">
        <w:rPr>
          <w:rFonts w:ascii="Times New Roman" w:hAnsi="Times New Roman"/>
          <w:sz w:val="24"/>
          <w:szCs w:val="24"/>
        </w:rPr>
        <w:t xml:space="preserve">, </w:t>
      </w:r>
    </w:p>
    <w:p w:rsidR="00F855BB" w:rsidRDefault="00DC68E2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</w:t>
      </w:r>
      <w:r w:rsidR="00BC06ED">
        <w:rPr>
          <w:rFonts w:ascii="Times New Roman" w:hAnsi="Times New Roman"/>
          <w:sz w:val="24"/>
          <w:szCs w:val="24"/>
        </w:rPr>
        <w:t xml:space="preserve">доктор технических наук, профессор, </w:t>
      </w:r>
    </w:p>
    <w:p w:rsidR="00DC68E2" w:rsidRDefault="00BC06ED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</w:t>
      </w:r>
      <w:r w:rsidR="00DC68E2">
        <w:rPr>
          <w:rFonts w:ascii="Times New Roman" w:hAnsi="Times New Roman"/>
          <w:sz w:val="24"/>
          <w:szCs w:val="24"/>
        </w:rPr>
        <w:t xml:space="preserve">                   </w:t>
      </w:r>
      <w:r>
        <w:rPr>
          <w:rFonts w:ascii="Times New Roman" w:hAnsi="Times New Roman"/>
          <w:sz w:val="24"/>
          <w:szCs w:val="24"/>
        </w:rPr>
        <w:t xml:space="preserve"> </w:t>
      </w:r>
      <w:r w:rsidR="00CA6011">
        <w:rPr>
          <w:rFonts w:ascii="Times New Roman" w:hAnsi="Times New Roman"/>
          <w:sz w:val="24"/>
          <w:szCs w:val="24"/>
        </w:rPr>
        <w:t>Тольяттинский государственный университет,</w:t>
      </w:r>
      <w:r w:rsidR="005D15BE">
        <w:rPr>
          <w:rFonts w:ascii="Times New Roman" w:hAnsi="Times New Roman"/>
          <w:sz w:val="24"/>
          <w:szCs w:val="24"/>
        </w:rPr>
        <w:t xml:space="preserve"> </w:t>
      </w:r>
    </w:p>
    <w:p w:rsidR="00CA6011" w:rsidRDefault="00DC68E2" w:rsidP="00DC68E2">
      <w:pPr>
        <w:widowControl w:val="0"/>
        <w:tabs>
          <w:tab w:val="left" w:pos="4111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</w:t>
      </w:r>
      <w:r w:rsidR="00CA6011">
        <w:rPr>
          <w:rFonts w:ascii="Times New Roman" w:hAnsi="Times New Roman"/>
          <w:sz w:val="24"/>
          <w:szCs w:val="24"/>
        </w:rPr>
        <w:t xml:space="preserve">профессор кафедры «Материаловедение и </w:t>
      </w:r>
    </w:p>
    <w:p w:rsidR="00F855BB" w:rsidRDefault="00CA6011" w:rsidP="00CA6011">
      <w:pPr>
        <w:widowControl w:val="0"/>
        <w:tabs>
          <w:tab w:val="left" w:pos="4111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механика материалов»</w:t>
      </w:r>
      <w:r w:rsidR="00F855BB">
        <w:rPr>
          <w:rFonts w:ascii="Times New Roman" w:hAnsi="Times New Roman"/>
          <w:sz w:val="24"/>
          <w:szCs w:val="24"/>
        </w:rPr>
        <w:t xml:space="preserve">                                           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DC68E2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</w:t>
      </w:r>
      <w:r w:rsidR="00DC68E2">
        <w:rPr>
          <w:rFonts w:ascii="Times New Roman" w:hAnsi="Times New Roman"/>
          <w:sz w:val="24"/>
          <w:szCs w:val="24"/>
        </w:rPr>
        <w:t xml:space="preserve">                    Борсяков Анатолий Сергеевич,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DC68E2">
        <w:rPr>
          <w:rFonts w:ascii="Times New Roman" w:hAnsi="Times New Roman"/>
          <w:sz w:val="24"/>
          <w:szCs w:val="24"/>
        </w:rPr>
        <w:t xml:space="preserve">                                                                   </w:t>
      </w:r>
      <w:r w:rsidR="00BC06ED">
        <w:rPr>
          <w:rFonts w:ascii="Times New Roman" w:hAnsi="Times New Roman"/>
          <w:sz w:val="24"/>
          <w:szCs w:val="24"/>
        </w:rPr>
        <w:t>доктор технических наук,  профессор</w:t>
      </w:r>
      <w:r w:rsidR="006077F3">
        <w:rPr>
          <w:rFonts w:ascii="Times New Roman" w:hAnsi="Times New Roman"/>
          <w:sz w:val="24"/>
          <w:szCs w:val="24"/>
        </w:rPr>
        <w:t xml:space="preserve">, </w:t>
      </w:r>
    </w:p>
    <w:p w:rsidR="00CA6011" w:rsidRDefault="00DC68E2" w:rsidP="00CA6011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</w:t>
      </w:r>
      <w:r w:rsidR="005D15BE">
        <w:rPr>
          <w:rFonts w:ascii="Times New Roman" w:hAnsi="Times New Roman"/>
          <w:sz w:val="24"/>
          <w:szCs w:val="24"/>
        </w:rPr>
        <w:t xml:space="preserve">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</w:t>
      </w:r>
      <w:r w:rsidR="005D15BE">
        <w:rPr>
          <w:rFonts w:ascii="Times New Roman" w:hAnsi="Times New Roman"/>
          <w:sz w:val="24"/>
          <w:szCs w:val="24"/>
        </w:rPr>
        <w:t xml:space="preserve">  </w:t>
      </w:r>
      <w:r w:rsidR="00CA6011">
        <w:rPr>
          <w:rFonts w:ascii="Times New Roman" w:hAnsi="Times New Roman"/>
          <w:sz w:val="24"/>
          <w:szCs w:val="24"/>
        </w:rPr>
        <w:t xml:space="preserve">Воронежский государственный  университет </w:t>
      </w:r>
    </w:p>
    <w:p w:rsidR="003002E5" w:rsidRDefault="00CA6011" w:rsidP="00CA6011">
      <w:pPr>
        <w:widowControl w:val="0"/>
        <w:tabs>
          <w:tab w:val="left" w:pos="4111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инженерных технологий, </w:t>
      </w:r>
      <w:r w:rsidR="005D15BE">
        <w:rPr>
          <w:rFonts w:ascii="Times New Roman" w:hAnsi="Times New Roman"/>
          <w:sz w:val="24"/>
          <w:szCs w:val="24"/>
        </w:rPr>
        <w:t>заведующий кафедрой</w:t>
      </w:r>
    </w:p>
    <w:p w:rsidR="00F855BB" w:rsidRDefault="003002E5" w:rsidP="003002E5">
      <w:pPr>
        <w:widowControl w:val="0"/>
        <w:tabs>
          <w:tab w:val="left" w:pos="4111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естественных дисциплин</w:t>
      </w:r>
      <w:r w:rsidR="005D15BE">
        <w:rPr>
          <w:rFonts w:ascii="Times New Roman" w:hAnsi="Times New Roman"/>
          <w:sz w:val="24"/>
          <w:szCs w:val="24"/>
        </w:rPr>
        <w:t xml:space="preserve">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5D15BE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</w:p>
    <w:p w:rsidR="00282EFB" w:rsidRDefault="00F855BB" w:rsidP="00282EFB">
      <w:pPr>
        <w:widowControl w:val="0"/>
        <w:tabs>
          <w:tab w:val="left" w:pos="4111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Ведущая организация:      </w:t>
      </w:r>
      <w:r w:rsidR="008821AB">
        <w:rPr>
          <w:rFonts w:ascii="Times New Roman" w:hAnsi="Times New Roman"/>
          <w:sz w:val="24"/>
          <w:szCs w:val="24"/>
        </w:rPr>
        <w:t xml:space="preserve">   </w:t>
      </w:r>
      <w:r w:rsidR="00282EFB">
        <w:rPr>
          <w:rFonts w:ascii="Times New Roman" w:hAnsi="Times New Roman"/>
          <w:sz w:val="24"/>
          <w:szCs w:val="24"/>
        </w:rPr>
        <w:t xml:space="preserve">                   </w:t>
      </w:r>
      <w:r w:rsidR="00FB4096" w:rsidRPr="00FB4096">
        <w:rPr>
          <w:rFonts w:ascii="Times New Roman" w:hAnsi="Times New Roman"/>
          <w:sz w:val="24"/>
          <w:szCs w:val="24"/>
        </w:rPr>
        <w:t xml:space="preserve"> </w:t>
      </w:r>
      <w:r w:rsidR="008821AB">
        <w:rPr>
          <w:rFonts w:ascii="Times New Roman" w:hAnsi="Times New Roman"/>
          <w:sz w:val="24"/>
          <w:szCs w:val="24"/>
        </w:rPr>
        <w:t xml:space="preserve">«Институт качественных сталей», ФГУП </w:t>
      </w:r>
    </w:p>
    <w:p w:rsidR="00F855BB" w:rsidRDefault="00282EFB" w:rsidP="00FB4096">
      <w:pPr>
        <w:widowControl w:val="0"/>
        <w:tabs>
          <w:tab w:val="left" w:pos="4111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</w:t>
      </w:r>
      <w:r w:rsidR="00FB4096" w:rsidRPr="00FB4096">
        <w:rPr>
          <w:rFonts w:ascii="Times New Roman" w:hAnsi="Times New Roman"/>
          <w:sz w:val="24"/>
          <w:szCs w:val="24"/>
        </w:rPr>
        <w:t xml:space="preserve"> </w:t>
      </w:r>
      <w:r w:rsidR="00FB4096" w:rsidRPr="00257BFF">
        <w:rPr>
          <w:rFonts w:ascii="Times New Roman" w:hAnsi="Times New Roman"/>
          <w:sz w:val="24"/>
          <w:szCs w:val="24"/>
        </w:rPr>
        <w:t xml:space="preserve"> </w:t>
      </w:r>
      <w:r w:rsidR="008821AB">
        <w:rPr>
          <w:rFonts w:ascii="Times New Roman" w:hAnsi="Times New Roman"/>
          <w:sz w:val="24"/>
          <w:szCs w:val="24"/>
        </w:rPr>
        <w:t>«ЦНИИЧерМет им. И.П. Бардина</w:t>
      </w:r>
      <w:r>
        <w:rPr>
          <w:rFonts w:ascii="Times New Roman" w:hAnsi="Times New Roman"/>
          <w:sz w:val="24"/>
          <w:szCs w:val="24"/>
        </w:rPr>
        <w:t>»</w:t>
      </w:r>
      <w:r w:rsidR="008821AB">
        <w:rPr>
          <w:rFonts w:ascii="Times New Roman" w:hAnsi="Times New Roman"/>
          <w:sz w:val="24"/>
          <w:szCs w:val="24"/>
        </w:rPr>
        <w:t xml:space="preserve">, Москва    </w:t>
      </w:r>
      <w:r w:rsidR="00F855BB">
        <w:rPr>
          <w:rFonts w:ascii="Times New Roman" w:hAnsi="Times New Roman"/>
          <w:sz w:val="24"/>
          <w:szCs w:val="24"/>
        </w:rPr>
        <w:t xml:space="preserve">                             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8D2584">
      <w:pPr>
        <w:widowControl w:val="0"/>
        <w:tabs>
          <w:tab w:val="left" w:pos="567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Защита диссертации состоится « </w:t>
      </w:r>
      <w:r w:rsidR="006D1CD6">
        <w:rPr>
          <w:rFonts w:ascii="Times New Roman" w:hAnsi="Times New Roman"/>
          <w:sz w:val="24"/>
          <w:szCs w:val="24"/>
        </w:rPr>
        <w:t xml:space="preserve">14 </w:t>
      </w:r>
      <w:r>
        <w:rPr>
          <w:rFonts w:ascii="Times New Roman" w:hAnsi="Times New Roman"/>
          <w:sz w:val="24"/>
          <w:szCs w:val="24"/>
        </w:rPr>
        <w:t xml:space="preserve">»  </w:t>
      </w:r>
      <w:r w:rsidR="00DC68E2">
        <w:rPr>
          <w:rFonts w:ascii="Times New Roman" w:hAnsi="Times New Roman"/>
          <w:sz w:val="24"/>
          <w:szCs w:val="24"/>
        </w:rPr>
        <w:t xml:space="preserve">ноября </w:t>
      </w:r>
      <w:r>
        <w:rPr>
          <w:rFonts w:ascii="Times New Roman" w:hAnsi="Times New Roman"/>
          <w:sz w:val="24"/>
          <w:szCs w:val="24"/>
        </w:rPr>
        <w:t xml:space="preserve"> 2012 г. в </w:t>
      </w:r>
      <w:r w:rsidR="006D1CD6">
        <w:rPr>
          <w:rFonts w:ascii="Times New Roman" w:hAnsi="Times New Roman"/>
          <w:sz w:val="24"/>
          <w:szCs w:val="24"/>
        </w:rPr>
        <w:t>14-00</w:t>
      </w:r>
      <w:r>
        <w:rPr>
          <w:rFonts w:ascii="Times New Roman" w:hAnsi="Times New Roman"/>
          <w:sz w:val="24"/>
          <w:szCs w:val="24"/>
        </w:rPr>
        <w:t xml:space="preserve"> час. на заседании диссе</w:t>
      </w:r>
      <w:r>
        <w:rPr>
          <w:rFonts w:ascii="Times New Roman" w:hAnsi="Times New Roman"/>
          <w:sz w:val="24"/>
          <w:szCs w:val="24"/>
        </w:rPr>
        <w:t>р</w:t>
      </w:r>
      <w:r>
        <w:rPr>
          <w:rFonts w:ascii="Times New Roman" w:hAnsi="Times New Roman"/>
          <w:sz w:val="24"/>
          <w:szCs w:val="24"/>
        </w:rPr>
        <w:t>тационного совета  Д</w:t>
      </w:r>
      <w:r w:rsidR="0095583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212.</w:t>
      </w:r>
      <w:r w:rsidR="00955838">
        <w:rPr>
          <w:rFonts w:ascii="Times New Roman" w:hAnsi="Times New Roman"/>
          <w:sz w:val="24"/>
          <w:szCs w:val="24"/>
        </w:rPr>
        <w:t>105</w:t>
      </w:r>
      <w:r>
        <w:rPr>
          <w:rFonts w:ascii="Times New Roman" w:hAnsi="Times New Roman"/>
          <w:sz w:val="24"/>
          <w:szCs w:val="24"/>
        </w:rPr>
        <w:t>.0</w:t>
      </w:r>
      <w:r w:rsidR="00955838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 xml:space="preserve"> </w:t>
      </w:r>
      <w:r w:rsidR="00955838">
        <w:rPr>
          <w:rFonts w:ascii="Times New Roman" w:hAnsi="Times New Roman"/>
          <w:sz w:val="24"/>
          <w:szCs w:val="24"/>
        </w:rPr>
        <w:t>при Юго-Западном</w:t>
      </w:r>
      <w:r>
        <w:rPr>
          <w:rFonts w:ascii="Times New Roman" w:hAnsi="Times New Roman"/>
          <w:sz w:val="24"/>
          <w:szCs w:val="24"/>
        </w:rPr>
        <w:t xml:space="preserve"> государственно</w:t>
      </w:r>
      <w:r w:rsidR="00955838">
        <w:rPr>
          <w:rFonts w:ascii="Times New Roman" w:hAnsi="Times New Roman"/>
          <w:sz w:val="24"/>
          <w:szCs w:val="24"/>
        </w:rPr>
        <w:t>м</w:t>
      </w:r>
      <w:r>
        <w:rPr>
          <w:rFonts w:ascii="Times New Roman" w:hAnsi="Times New Roman"/>
          <w:sz w:val="24"/>
          <w:szCs w:val="24"/>
        </w:rPr>
        <w:t xml:space="preserve"> университет</w:t>
      </w:r>
      <w:r w:rsidR="00955838"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 по адр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су</w:t>
      </w:r>
      <w:r w:rsidR="00DC68E2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30</w:t>
      </w:r>
      <w:r w:rsidR="00955838">
        <w:rPr>
          <w:rFonts w:ascii="Times New Roman" w:hAnsi="Times New Roman"/>
          <w:sz w:val="24"/>
          <w:szCs w:val="24"/>
        </w:rPr>
        <w:t>504</w:t>
      </w:r>
      <w:r>
        <w:rPr>
          <w:rFonts w:ascii="Times New Roman" w:hAnsi="Times New Roman"/>
          <w:sz w:val="24"/>
          <w:szCs w:val="24"/>
        </w:rPr>
        <w:t xml:space="preserve">0, г. </w:t>
      </w:r>
      <w:r w:rsidR="00955838">
        <w:rPr>
          <w:rFonts w:ascii="Times New Roman" w:hAnsi="Times New Roman"/>
          <w:sz w:val="24"/>
          <w:szCs w:val="24"/>
        </w:rPr>
        <w:t>Курск</w:t>
      </w:r>
      <w:r>
        <w:rPr>
          <w:rFonts w:ascii="Times New Roman" w:hAnsi="Times New Roman"/>
          <w:sz w:val="24"/>
          <w:szCs w:val="24"/>
        </w:rPr>
        <w:t xml:space="preserve">, </w:t>
      </w:r>
      <w:r w:rsidR="00955838">
        <w:rPr>
          <w:rFonts w:ascii="Times New Roman" w:hAnsi="Times New Roman"/>
          <w:sz w:val="24"/>
          <w:szCs w:val="24"/>
        </w:rPr>
        <w:t>ул</w:t>
      </w:r>
      <w:r>
        <w:rPr>
          <w:rFonts w:ascii="Times New Roman" w:hAnsi="Times New Roman"/>
          <w:sz w:val="24"/>
          <w:szCs w:val="24"/>
        </w:rPr>
        <w:t xml:space="preserve">. </w:t>
      </w:r>
      <w:r w:rsidR="00955838">
        <w:rPr>
          <w:rFonts w:ascii="Times New Roman" w:hAnsi="Times New Roman"/>
          <w:sz w:val="24"/>
          <w:szCs w:val="24"/>
        </w:rPr>
        <w:t>50</w:t>
      </w:r>
      <w:r w:rsidR="00DC68E2">
        <w:rPr>
          <w:rFonts w:ascii="Times New Roman" w:hAnsi="Times New Roman"/>
          <w:sz w:val="24"/>
          <w:szCs w:val="24"/>
        </w:rPr>
        <w:t xml:space="preserve"> </w:t>
      </w:r>
      <w:r w:rsidR="00955838">
        <w:rPr>
          <w:rFonts w:ascii="Times New Roman" w:hAnsi="Times New Roman"/>
          <w:sz w:val="24"/>
          <w:szCs w:val="24"/>
        </w:rPr>
        <w:t>лет Октября</w:t>
      </w:r>
      <w:r>
        <w:rPr>
          <w:rFonts w:ascii="Times New Roman" w:hAnsi="Times New Roman"/>
          <w:sz w:val="24"/>
          <w:szCs w:val="24"/>
        </w:rPr>
        <w:t>, 9</w:t>
      </w:r>
      <w:r w:rsidR="00955838">
        <w:rPr>
          <w:rFonts w:ascii="Times New Roman" w:hAnsi="Times New Roman"/>
          <w:sz w:val="24"/>
          <w:szCs w:val="24"/>
        </w:rPr>
        <w:t>4</w:t>
      </w:r>
      <w:r w:rsidR="005D15BE">
        <w:rPr>
          <w:rFonts w:ascii="Times New Roman" w:hAnsi="Times New Roman"/>
          <w:sz w:val="24"/>
          <w:szCs w:val="24"/>
        </w:rPr>
        <w:t>, конференц-зал</w:t>
      </w:r>
      <w:r>
        <w:rPr>
          <w:rFonts w:ascii="Times New Roman" w:hAnsi="Times New Roman"/>
          <w:sz w:val="24"/>
          <w:szCs w:val="24"/>
        </w:rPr>
        <w:t>.</w:t>
      </w:r>
    </w:p>
    <w:p w:rsidR="00F855BB" w:rsidRDefault="00F855BB" w:rsidP="00F855BB">
      <w:pPr>
        <w:widowControl w:val="0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rPr>
          <w:rFonts w:ascii="Times New Roman" w:hAnsi="Times New Roman"/>
          <w:sz w:val="24"/>
          <w:szCs w:val="24"/>
        </w:rPr>
      </w:pPr>
    </w:p>
    <w:p w:rsidR="00F855BB" w:rsidRDefault="00DC68E2" w:rsidP="008D2584">
      <w:pPr>
        <w:widowControl w:val="0"/>
        <w:tabs>
          <w:tab w:val="left" w:pos="567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 w:rsidR="008D2584">
        <w:rPr>
          <w:rFonts w:ascii="Times New Roman" w:hAnsi="Times New Roman"/>
          <w:sz w:val="24"/>
          <w:szCs w:val="24"/>
        </w:rPr>
        <w:t xml:space="preserve">     </w:t>
      </w:r>
      <w:r w:rsidR="00F855BB">
        <w:rPr>
          <w:rFonts w:ascii="Times New Roman" w:hAnsi="Times New Roman"/>
          <w:sz w:val="24"/>
          <w:szCs w:val="24"/>
        </w:rPr>
        <w:t xml:space="preserve">С диссертацией можно ознакомиться в библиотеке </w:t>
      </w:r>
      <w:r w:rsidR="00955838">
        <w:rPr>
          <w:rFonts w:ascii="Times New Roman" w:hAnsi="Times New Roman"/>
          <w:sz w:val="24"/>
          <w:szCs w:val="24"/>
        </w:rPr>
        <w:t>Юго-Западного</w:t>
      </w:r>
      <w:r w:rsidR="00F855BB">
        <w:rPr>
          <w:rFonts w:ascii="Times New Roman" w:hAnsi="Times New Roman"/>
          <w:sz w:val="24"/>
          <w:szCs w:val="24"/>
        </w:rPr>
        <w:t xml:space="preserve"> государственного </w:t>
      </w:r>
    </w:p>
    <w:p w:rsidR="00F855BB" w:rsidRDefault="00F855BB" w:rsidP="00B04EA0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университета </w:t>
      </w:r>
    </w:p>
    <w:p w:rsidR="00F855BB" w:rsidRDefault="00F855BB" w:rsidP="00F855BB">
      <w:pPr>
        <w:widowControl w:val="0"/>
        <w:jc w:val="center"/>
        <w:rPr>
          <w:rFonts w:ascii="Times New Roman" w:hAnsi="Times New Roman"/>
          <w:sz w:val="24"/>
          <w:szCs w:val="24"/>
        </w:rPr>
      </w:pPr>
    </w:p>
    <w:p w:rsidR="00F855BB" w:rsidRDefault="00F855BB" w:rsidP="00DC68E2">
      <w:pPr>
        <w:widowControl w:val="0"/>
        <w:tabs>
          <w:tab w:val="left" w:pos="567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</w:p>
    <w:p w:rsidR="00F855BB" w:rsidRDefault="00DC68E2" w:rsidP="00DC68E2">
      <w:pPr>
        <w:widowControl w:val="0"/>
        <w:tabs>
          <w:tab w:val="left" w:pos="567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8D2584">
        <w:rPr>
          <w:rFonts w:ascii="Times New Roman" w:hAnsi="Times New Roman"/>
          <w:sz w:val="24"/>
          <w:szCs w:val="24"/>
        </w:rPr>
        <w:t xml:space="preserve"> </w:t>
      </w:r>
      <w:r w:rsidR="00F855BB">
        <w:rPr>
          <w:rFonts w:ascii="Times New Roman" w:hAnsi="Times New Roman"/>
          <w:sz w:val="24"/>
          <w:szCs w:val="24"/>
        </w:rPr>
        <w:t xml:space="preserve">Автореферат разослан «__» </w:t>
      </w:r>
      <w:r>
        <w:rPr>
          <w:rFonts w:ascii="Times New Roman" w:hAnsi="Times New Roman"/>
          <w:sz w:val="24"/>
          <w:szCs w:val="24"/>
        </w:rPr>
        <w:t xml:space="preserve">октября </w:t>
      </w:r>
      <w:r w:rsidR="00F855BB">
        <w:rPr>
          <w:rFonts w:ascii="Times New Roman" w:hAnsi="Times New Roman"/>
          <w:sz w:val="24"/>
          <w:szCs w:val="24"/>
        </w:rPr>
        <w:t>2012 г.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A45954" w:rsidRDefault="00A45954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A45954" w:rsidRDefault="00A45954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A45954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Ученый секретарь </w:t>
      </w:r>
    </w:p>
    <w:p w:rsidR="005D15BE" w:rsidRDefault="00B21993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2532380</wp:posOffset>
            </wp:positionH>
            <wp:positionV relativeFrom="paragraph">
              <wp:posOffset>57785</wp:posOffset>
            </wp:positionV>
            <wp:extent cx="1070610" cy="495300"/>
            <wp:effectExtent l="19050" t="0" r="0" b="0"/>
            <wp:wrapTight wrapText="bothSides">
              <wp:wrapPolygon edited="0">
                <wp:start x="-384" y="0"/>
                <wp:lineTo x="-384" y="20769"/>
                <wp:lineTo x="21523" y="20769"/>
                <wp:lineTo x="21523" y="0"/>
                <wp:lineTo x="-384" y="0"/>
              </wp:wrapPolygon>
            </wp:wrapTight>
            <wp:docPr id="15" name="Рисунок 0" descr="01011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011001.JPG"/>
                    <pic:cNvPicPr/>
                  </pic:nvPicPr>
                  <pic:blipFill>
                    <a:blip r:embed="rId9" cstate="print"/>
                    <a:srcRect l="45129" t="5218" r="36810" b="88795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855BB">
        <w:rPr>
          <w:rFonts w:ascii="Times New Roman" w:hAnsi="Times New Roman"/>
          <w:sz w:val="24"/>
          <w:szCs w:val="24"/>
        </w:rPr>
        <w:t xml:space="preserve">диссертационного совета </w:t>
      </w:r>
    </w:p>
    <w:p w:rsidR="00F855BB" w:rsidRDefault="00B21993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</w:t>
      </w:r>
      <w:r w:rsidR="00955838">
        <w:rPr>
          <w:rFonts w:ascii="Times New Roman" w:hAnsi="Times New Roman"/>
          <w:sz w:val="24"/>
          <w:szCs w:val="24"/>
        </w:rPr>
        <w:t>212.105.01</w:t>
      </w:r>
      <w:r w:rsidR="005D15BE">
        <w:rPr>
          <w:rFonts w:ascii="Times New Roman" w:hAnsi="Times New Roman"/>
          <w:sz w:val="24"/>
          <w:szCs w:val="24"/>
        </w:rPr>
        <w:t xml:space="preserve">                                                                </w:t>
      </w:r>
      <w:r w:rsidR="00A45954">
        <w:rPr>
          <w:rFonts w:ascii="Times New Roman" w:hAnsi="Times New Roman"/>
          <w:sz w:val="24"/>
          <w:szCs w:val="24"/>
        </w:rPr>
        <w:t xml:space="preserve">                  </w:t>
      </w:r>
      <w:r w:rsidR="00C16C5A">
        <w:rPr>
          <w:rFonts w:ascii="Times New Roman" w:hAnsi="Times New Roman"/>
          <w:sz w:val="24"/>
          <w:szCs w:val="24"/>
        </w:rPr>
        <w:t>Лушников</w:t>
      </w:r>
      <w:r w:rsidR="00A45954">
        <w:rPr>
          <w:rFonts w:ascii="Times New Roman" w:hAnsi="Times New Roman"/>
          <w:sz w:val="24"/>
          <w:szCs w:val="24"/>
        </w:rPr>
        <w:t xml:space="preserve"> Борис Владимирович</w:t>
      </w:r>
    </w:p>
    <w:p w:rsidR="000C7EE6" w:rsidRDefault="000C7EE6" w:rsidP="000C7EE6">
      <w:pPr>
        <w:widowControl w:val="0"/>
        <w:ind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ОБЩАЯ ХАРАКТЕРИСТИКА РАБОТЫ</w:t>
      </w:r>
    </w:p>
    <w:p w:rsidR="000C7EE6" w:rsidRDefault="000C7EE6" w:rsidP="000C7EE6">
      <w:pPr>
        <w:widowControl w:val="0"/>
        <w:ind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Актуальность проблемы.</w:t>
      </w:r>
      <w:r>
        <w:rPr>
          <w:rFonts w:ascii="Times New Roman" w:hAnsi="Times New Roman"/>
          <w:sz w:val="24"/>
          <w:szCs w:val="24"/>
        </w:rPr>
        <w:t xml:space="preserve"> Усложняющийся характер работы современных промы</w:t>
      </w:r>
      <w:r>
        <w:rPr>
          <w:rFonts w:ascii="Times New Roman" w:hAnsi="Times New Roman"/>
          <w:sz w:val="24"/>
          <w:szCs w:val="24"/>
        </w:rPr>
        <w:t>ш</w:t>
      </w:r>
      <w:r>
        <w:rPr>
          <w:rFonts w:ascii="Times New Roman" w:hAnsi="Times New Roman"/>
          <w:sz w:val="24"/>
          <w:szCs w:val="24"/>
        </w:rPr>
        <w:t>ленных объектов, увеличивающиеся нагрузки и риск разрушения (особенно – объектов п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вышенной опасности) заставляет активизиро</w:t>
      </w:r>
      <w:r w:rsidR="00445B50">
        <w:rPr>
          <w:rFonts w:ascii="Times New Roman" w:hAnsi="Times New Roman"/>
          <w:sz w:val="24"/>
          <w:szCs w:val="24"/>
        </w:rPr>
        <w:t>вать и</w:t>
      </w:r>
      <w:r>
        <w:rPr>
          <w:rFonts w:ascii="Times New Roman" w:hAnsi="Times New Roman"/>
          <w:sz w:val="24"/>
          <w:szCs w:val="24"/>
        </w:rPr>
        <w:t xml:space="preserve">зучение их повреждаемости. Под </w:t>
      </w:r>
      <w:r>
        <w:rPr>
          <w:rFonts w:ascii="Times New Roman" w:hAnsi="Times New Roman"/>
          <w:b/>
          <w:bCs/>
          <w:sz w:val="24"/>
          <w:szCs w:val="24"/>
        </w:rPr>
        <w:t>повре</w:t>
      </w:r>
      <w:r>
        <w:rPr>
          <w:rFonts w:ascii="Times New Roman" w:hAnsi="Times New Roman"/>
          <w:b/>
          <w:bCs/>
          <w:sz w:val="24"/>
          <w:szCs w:val="24"/>
        </w:rPr>
        <w:t>ж</w:t>
      </w:r>
      <w:r>
        <w:rPr>
          <w:rFonts w:ascii="Times New Roman" w:hAnsi="Times New Roman"/>
          <w:b/>
          <w:bCs/>
          <w:sz w:val="24"/>
          <w:szCs w:val="24"/>
        </w:rPr>
        <w:t xml:space="preserve">даемостью </w:t>
      </w:r>
      <w:r>
        <w:rPr>
          <w:rFonts w:ascii="Times New Roman" w:hAnsi="Times New Roman"/>
          <w:bCs/>
          <w:sz w:val="24"/>
          <w:szCs w:val="24"/>
        </w:rPr>
        <w:t>понимают</w:t>
      </w:r>
      <w:r>
        <w:rPr>
          <w:rFonts w:ascii="Times New Roman" w:hAnsi="Times New Roman"/>
          <w:sz w:val="24"/>
          <w:szCs w:val="24"/>
        </w:rPr>
        <w:t xml:space="preserve"> комплекс процессов зарождения и эволюции несплошностей разли</w:t>
      </w:r>
      <w:r>
        <w:rPr>
          <w:rFonts w:ascii="Times New Roman" w:hAnsi="Times New Roman"/>
          <w:sz w:val="24"/>
          <w:szCs w:val="24"/>
        </w:rPr>
        <w:t>ч</w:t>
      </w:r>
      <w:r>
        <w:rPr>
          <w:rFonts w:ascii="Times New Roman" w:hAnsi="Times New Roman"/>
          <w:sz w:val="24"/>
          <w:szCs w:val="24"/>
        </w:rPr>
        <w:t xml:space="preserve">ного масштабного уровня. Он включает в себя два основных процесса: подготовительный – </w:t>
      </w:r>
      <w:r>
        <w:rPr>
          <w:rFonts w:ascii="Times New Roman" w:hAnsi="Times New Roman"/>
          <w:i/>
          <w:sz w:val="24"/>
          <w:szCs w:val="24"/>
        </w:rPr>
        <w:t>деградацию</w:t>
      </w:r>
      <w:r>
        <w:rPr>
          <w:rFonts w:ascii="Times New Roman" w:hAnsi="Times New Roman"/>
          <w:sz w:val="24"/>
          <w:szCs w:val="24"/>
        </w:rPr>
        <w:t xml:space="preserve"> и заключительный – </w:t>
      </w:r>
      <w:r>
        <w:rPr>
          <w:rFonts w:ascii="Times New Roman" w:hAnsi="Times New Roman"/>
          <w:i/>
          <w:sz w:val="24"/>
          <w:szCs w:val="24"/>
        </w:rPr>
        <w:t>деструкцию</w:t>
      </w:r>
      <w:r>
        <w:rPr>
          <w:rFonts w:ascii="Times New Roman" w:hAnsi="Times New Roman"/>
          <w:sz w:val="24"/>
          <w:szCs w:val="24"/>
        </w:rPr>
        <w:t>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Деградация</w:t>
      </w:r>
      <w:r>
        <w:rPr>
          <w:rFonts w:ascii="Times New Roman" w:hAnsi="Times New Roman"/>
          <w:sz w:val="24"/>
          <w:szCs w:val="24"/>
        </w:rPr>
        <w:t xml:space="preserve"> отражает изменение концентрации основного твердого раствора, инте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сивности взаимодействия дефектов строения (дислокационно-примесного взаимодействия), подвижности и степени закрепления дислокаций, уровня микроискажений, морфологии и количества вторых фаз, их распределения и т.п. Перечисленные процессы определяют по</w:t>
      </w:r>
      <w:r>
        <w:rPr>
          <w:rFonts w:ascii="Times New Roman" w:hAnsi="Times New Roman"/>
          <w:sz w:val="24"/>
          <w:szCs w:val="24"/>
        </w:rPr>
        <w:t>д</w:t>
      </w:r>
      <w:r>
        <w:rPr>
          <w:rFonts w:ascii="Times New Roman" w:hAnsi="Times New Roman"/>
          <w:sz w:val="24"/>
          <w:szCs w:val="24"/>
        </w:rPr>
        <w:t>вижность дислокаций, и далее - прочность, вязкость и трещиностойкость. Их развитость приближает материал к предельному состоянию, когда резко снижаются требуемые свойства и этап «живучести» сменяется активным разрушением. Основу исследований, описывающих эти процессы, заложили  М.Е. Блантер, И.А. Одинг, И.А. Либеров, Ю.П. Ровинский и пр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должили В.И Куманин, В.В. Рыбин, Л.Р. Ботвина Л.М., Рыбакова, П.Д. Одесский.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Под </w:t>
      </w:r>
      <w:r>
        <w:rPr>
          <w:rFonts w:ascii="Times New Roman" w:hAnsi="Times New Roman"/>
          <w:i/>
          <w:sz w:val="24"/>
          <w:szCs w:val="24"/>
        </w:rPr>
        <w:t>деструкцией</w:t>
      </w:r>
      <w:r>
        <w:rPr>
          <w:rFonts w:ascii="Times New Roman" w:hAnsi="Times New Roman"/>
          <w:sz w:val="24"/>
          <w:szCs w:val="24"/>
        </w:rPr>
        <w:t xml:space="preserve"> понимают процессы развития и роста несплошностей различного масштабного уровня. К основным концепциям эволюции деструкции относят: силовую те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рию внезапного разрушения Гриффитса-Орована, кинетическую теорию длительной прочн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сти С.Н. Журкова, Л.М. Качанова, Ю.Н. Работнова, статистический подход М. Хирата, Т. Екобори (и его развитие – дискретно-континуальную теорию А.В. Степанова, В.И. Владим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рова, Ш.Х. Ханнанова), синергетический и фрактальный подходы.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Несмотря на мнение о важности деградации как процесса во многом определяющего повреждаемость, её механизмы исследованы  не достаточно полно. Практически нет данных о совместном протекании и взаимном влиянии (синергетике) деградации и деструкции.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Актуальной является оценка как индивидуальных особенностей, так и совместной р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ли деградации и деструкции в развитии повреждаемости и их влияния на структуру и сво</w:t>
      </w:r>
      <w:r>
        <w:rPr>
          <w:rFonts w:ascii="Times New Roman" w:hAnsi="Times New Roman"/>
          <w:sz w:val="24"/>
          <w:szCs w:val="24"/>
        </w:rPr>
        <w:t>й</w:t>
      </w:r>
      <w:r>
        <w:rPr>
          <w:rFonts w:ascii="Times New Roman" w:hAnsi="Times New Roman"/>
          <w:sz w:val="24"/>
          <w:szCs w:val="24"/>
        </w:rPr>
        <w:t>ства (на разных масштабных уровнях) широко используемых железоуглеродистых сплавов. Перспективным для этого представляется применение комплекса кинетического, статистич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ского и синергетического подходов. Узловым его моментом может явиться анализ эволюции дислокационных скоплений, как основного элемента структур.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 позиций синергетики рост внешнего воздействия делает развитие дислокационных скоплений неравновесным стохастическим процессом, – диссипативным процессом, прот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кающим вдали от равновесия. Оценку диссипативных (аккомодационных) возможностей м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териала на различных этапах внешнего воздействия удобно вести, измеряя диссипацию (р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лаксацию) механической энергии. Характер и масштабы развития релаксационных проце</w:t>
      </w: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сов, протекающих в ходе повреждаемости, определяются кинетикой накопления и взаим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действия дефектов кристаллического строения. Развитым теоретически и эффективным в экспериментальном плане методом её исследования является механическая спектроскопия (МС), объединяющая методики измерения внутреннего трения (ВТ) и других проявлений н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совершенной упругости. МС отличается высокой структурной чувствительностью и избир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тельностью к изменениям, происходящим на атомарном уровне</w:t>
      </w:r>
      <w:r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Изучение особенностей процессов, контролирующих деградацию, деструкцию и п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вреждаемость в целом, и управление на этой основе микроструктурой и свойствами мат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риалов представляется чрезвычайно актуальной научной задачей, имеющей практическое значение. Комплексный анализ параметров неупругих эффектов в сочетании с другими м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тодами современного металлофизического анализа позволяет вести эффективный монит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ринг развития деградации и деструкции.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Диссертационная работа выполнена в Тульском государственной университете на к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федре физики, в соответствии с госбюджетным тематическим планом НИР (тема № 44-06), координируемым Минобразнауки РФ и в рамках гранта ректора ТулГУ (№ гос. рег. ГРР-</w:t>
      </w:r>
      <w:r>
        <w:rPr>
          <w:rFonts w:ascii="Times New Roman" w:hAnsi="Times New Roman"/>
          <w:sz w:val="24"/>
          <w:szCs w:val="24"/>
        </w:rPr>
        <w:lastRenderedPageBreak/>
        <w:t xml:space="preserve">03.2010), в Центре коллективного пользования БелГУ (г. Белгород) в рамках федеральной целевой программы «Научные и научно-педагогические кадры инновационной России» на 2009-2013 годы (мероприятие 1.4 - 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 очередь) по проекту «Проведение поисковых научно-исследовательских работ в целях развития общероссийской мобильности в области технич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ских наук и высокотехнологичных секторов экономики», в Лаборатории нейтронной физики им. И.М. Франка ММО «Объединенный институт ядерных исследований» (г. Дубна). Иссл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дования вели в рамках одного из приоритетных направлений развития науки и техники РФ – </w:t>
      </w:r>
      <w:r>
        <w:rPr>
          <w:rFonts w:ascii="Times New Roman" w:hAnsi="Times New Roman"/>
          <w:bCs/>
          <w:sz w:val="24"/>
          <w:szCs w:val="24"/>
        </w:rPr>
        <w:t>«Индустрия наносистем и материалы», с учетом разделов «Технологии снижения риска и уменьшения последствий природных и техногенных катастроф» и «Технологии создания и обработки кристаллических материалов» «Перечня критических технологий РФ».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Целью диссертационной работы</w:t>
      </w:r>
      <w:r>
        <w:rPr>
          <w:rFonts w:ascii="Times New Roman" w:hAnsi="Times New Roman"/>
          <w:sz w:val="24"/>
          <w:szCs w:val="24"/>
        </w:rPr>
        <w:t xml:space="preserve"> являлось: установление механизмов и закономе</w:t>
      </w:r>
      <w:r>
        <w:rPr>
          <w:rFonts w:ascii="Times New Roman" w:hAnsi="Times New Roman"/>
          <w:sz w:val="24"/>
          <w:szCs w:val="24"/>
        </w:rPr>
        <w:t>р</w:t>
      </w:r>
      <w:r>
        <w:rPr>
          <w:rFonts w:ascii="Times New Roman" w:hAnsi="Times New Roman"/>
          <w:sz w:val="24"/>
          <w:szCs w:val="24"/>
        </w:rPr>
        <w:t>ностей влияния силового и водородного воздействия на стадийность процессов, формиру</w:t>
      </w:r>
      <w:r>
        <w:rPr>
          <w:rFonts w:ascii="Times New Roman" w:hAnsi="Times New Roman"/>
          <w:sz w:val="24"/>
          <w:szCs w:val="24"/>
        </w:rPr>
        <w:t>ю</w:t>
      </w:r>
      <w:r>
        <w:rPr>
          <w:rFonts w:ascii="Times New Roman" w:hAnsi="Times New Roman"/>
          <w:sz w:val="24"/>
          <w:szCs w:val="24"/>
        </w:rPr>
        <w:t>щих повреждаемость железоуглеродистых сплавов.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достижения поставленной цели решали следующие</w:t>
      </w:r>
      <w:r>
        <w:rPr>
          <w:rFonts w:ascii="Times New Roman" w:hAnsi="Times New Roman"/>
          <w:b/>
          <w:sz w:val="24"/>
          <w:szCs w:val="24"/>
        </w:rPr>
        <w:t xml:space="preserve"> основные задачи: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1) исследовать влияние деформации и наводороживания на параметры неупругих эффе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тов температурного спектра внутреннего трения (ВТ), модуль упругости, характеристики тонкой структуры и ансамбля трещин железоуглеродистых сплавов;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2) определить механизмы влияния интенсивности деформации и длительности наводор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живания на перераспределение примесей внедрения (</w:t>
      </w:r>
      <w:r>
        <w:rPr>
          <w:rFonts w:ascii="Times New Roman" w:hAnsi="Times New Roman"/>
          <w:i/>
          <w:sz w:val="24"/>
          <w:szCs w:val="24"/>
          <w:lang w:val="en-US"/>
        </w:rPr>
        <w:t>N</w:t>
      </w:r>
      <w:r>
        <w:rPr>
          <w:rFonts w:ascii="Times New Roman" w:hAnsi="Times New Roman"/>
          <w:i/>
          <w:sz w:val="24"/>
          <w:szCs w:val="24"/>
        </w:rPr>
        <w:t>,С,Н</w:t>
      </w:r>
      <w:r>
        <w:rPr>
          <w:rFonts w:ascii="Times New Roman" w:hAnsi="Times New Roman"/>
          <w:sz w:val="24"/>
          <w:szCs w:val="24"/>
        </w:rPr>
        <w:t>), дислокационную подвижность и дислокационно-примесное взаимодействие в объеме и локализованных зонах концентр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ции напряжений (ЛЗКН);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3) выявить закономерности силового и водородного воздействия на эволюцию ансамбля микронесплошностей (микротрещин) различных размерных групп;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4) установить диапазоны взаимного влияния процессов деградации и деструкции и оп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сать стадийность процессов, формирующих повреждаемость</w:t>
      </w:r>
      <w:r>
        <w:rPr>
          <w:rFonts w:ascii="Times New Roman" w:hAnsi="Times New Roman"/>
          <w:bCs/>
          <w:sz w:val="24"/>
          <w:szCs w:val="24"/>
        </w:rPr>
        <w:t>;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5) разработать феноменологические модели развития трещин на фоне деградационных процессов при деформации и наводороживании;</w:t>
      </w:r>
    </w:p>
    <w:p w:rsidR="00F855BB" w:rsidRDefault="00F855BB" w:rsidP="00F855BB">
      <w:pPr>
        <w:widowControl w:val="0"/>
        <w:tabs>
          <w:tab w:val="left" w:pos="567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6) совершенствовать оборудование  и разработать программное обеспечение для измер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ния температурных спектров ВТ и модуля упругости на основе резонансной методики.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Научная новизна работы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разработана методика мониторинга деформационной и водородной повреждаемости железоуглеродистых сплавов на базе комплексного анализа высоты, температурного пол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жения, энергии активации максимумов температурного и амплитудного спектров внутренн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го трения;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получены новые экспериментальные данные, свидетельствующие о совместном пр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текании и взаимном влиянии деградационных и деструктивных процессов в ходе статическ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го деформирования и электролитического наводороживания малоуглеродистых сталей 20, Ст3, 08Г2С и сплава </w:t>
      </w:r>
      <w:r w:rsidRPr="00AD2975">
        <w:rPr>
          <w:rFonts w:ascii="Times New Roman" w:hAnsi="Times New Roman"/>
          <w:i/>
          <w:sz w:val="24"/>
          <w:szCs w:val="24"/>
          <w:lang w:val="en-US"/>
        </w:rPr>
        <w:t>Fe</w:t>
      </w:r>
      <w:r w:rsidRPr="00AD2975">
        <w:rPr>
          <w:rFonts w:ascii="Times New Roman" w:hAnsi="Times New Roman"/>
          <w:sz w:val="24"/>
          <w:szCs w:val="24"/>
        </w:rPr>
        <w:t xml:space="preserve">-0,09 </w:t>
      </w:r>
      <w:r>
        <w:rPr>
          <w:rFonts w:ascii="Times New Roman" w:hAnsi="Times New Roman"/>
          <w:sz w:val="24"/>
          <w:szCs w:val="24"/>
        </w:rPr>
        <w:t xml:space="preserve">% </w:t>
      </w:r>
      <w:r w:rsidRPr="00AD2975">
        <w:rPr>
          <w:rFonts w:ascii="Times New Roman" w:hAnsi="Times New Roman"/>
          <w:i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, проявляющиеся в эволюции параметров внутреннего тр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ния, количества и геометрии микротрещин, характеристик тонкой структуры;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на основе комплексной концепции развития поврежденности железоуглеродистых сплавов как открытой системы, развиты представления о стадийности деформационной и в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дородной повреждаемости исследованных сталей и сплавов; определены границы стадий для условий статического деформирования и электролитического наводороживания;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разработаны и экспериментально подтверждены феноменологические модели разв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тия деградации и деструкции в ходе статического деформирования и электролитического н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водороживания изученных сплавов;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выявлены общие закономерности изменения характеристик внутреннего трения, тонкой структуры и ансамбля микротрещин в развитии деформационной повреждаемости, отражающие различную динамику их совместного развития в ходе деградации и деструкции;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выявлена активационная роль деградации (за счет развития «деструкционного» э</w:t>
      </w:r>
      <w:r>
        <w:rPr>
          <w:rFonts w:ascii="Times New Roman" w:hAnsi="Times New Roman"/>
          <w:sz w:val="24"/>
          <w:szCs w:val="24"/>
        </w:rPr>
        <w:t>ф</w:t>
      </w:r>
      <w:r>
        <w:rPr>
          <w:rFonts w:ascii="Times New Roman" w:hAnsi="Times New Roman"/>
          <w:sz w:val="24"/>
          <w:szCs w:val="24"/>
        </w:rPr>
        <w:t>фекта внутреннего трения) в функционировании механизма слияния и роста деформацио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ных микротрещин в локальных зонах концентрации напряжений;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- выявлено наличие и действие эффекта локализации водородной пластичности на о</w:t>
      </w:r>
      <w:r>
        <w:rPr>
          <w:rFonts w:ascii="Times New Roman" w:hAnsi="Times New Roman"/>
          <w:sz w:val="24"/>
          <w:szCs w:val="24"/>
        </w:rPr>
        <w:t>б</w:t>
      </w:r>
      <w:r>
        <w:rPr>
          <w:rFonts w:ascii="Times New Roman" w:hAnsi="Times New Roman"/>
          <w:sz w:val="24"/>
          <w:szCs w:val="24"/>
        </w:rPr>
        <w:t>легчение зарождения субмикротрещин и интенсификацию трещинообразования при эле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тролитическом наводороживании стали 20 и Ст3.</w:t>
      </w:r>
    </w:p>
    <w:p w:rsidR="00642EAA" w:rsidRDefault="00642EAA" w:rsidP="00F855BB">
      <w:pPr>
        <w:widowControl w:val="0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Основные положения, выносимые на защиту: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Комплекс новых экспериментальных данных о влиянии степени предварительной статич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ской деформации (</w:t>
      </w:r>
      <w:r>
        <w:rPr>
          <w:rFonts w:ascii="Times New Roman" w:hAnsi="Times New Roman"/>
          <w:sz w:val="28"/>
          <w:szCs w:val="28"/>
        </w:rPr>
        <w:t xml:space="preserve">ε </w:t>
      </w:r>
      <w:r>
        <w:rPr>
          <w:rFonts w:ascii="Times New Roman" w:hAnsi="Times New Roman"/>
          <w:sz w:val="24"/>
          <w:szCs w:val="24"/>
        </w:rPr>
        <w:t>= 0…20 %) и длительности электролитического наводороживания (</w:t>
      </w:r>
      <w:r>
        <w:rPr>
          <w:rFonts w:ascii="Times New Roman" w:hAnsi="Times New Roman"/>
          <w:sz w:val="28"/>
          <w:szCs w:val="28"/>
        </w:rPr>
        <w:t>τ</w:t>
      </w:r>
      <w:r>
        <w:rPr>
          <w:rFonts w:ascii="Times New Roman" w:hAnsi="Times New Roman"/>
          <w:sz w:val="24"/>
          <w:szCs w:val="24"/>
          <w:vertAlign w:val="subscript"/>
        </w:rPr>
        <w:t>В</w:t>
      </w:r>
      <w:r>
        <w:rPr>
          <w:rFonts w:ascii="Times New Roman" w:hAnsi="Times New Roman"/>
          <w:sz w:val="24"/>
          <w:szCs w:val="24"/>
        </w:rPr>
        <w:t xml:space="preserve"> = 0…30 ч. при </w:t>
      </w:r>
      <w:r w:rsidRPr="00FE56E6">
        <w:rPr>
          <w:rFonts w:ascii="Times New Roman" w:hAnsi="Times New Roman"/>
          <w:i/>
          <w:sz w:val="24"/>
          <w:szCs w:val="24"/>
          <w:lang w:val="en-US"/>
        </w:rPr>
        <w:t>j</w:t>
      </w:r>
      <w:r>
        <w:rPr>
          <w:rFonts w:ascii="Times New Roman" w:hAnsi="Times New Roman"/>
          <w:sz w:val="24"/>
          <w:szCs w:val="24"/>
        </w:rPr>
        <w:t xml:space="preserve"> = 60…150 А/м</w:t>
      </w:r>
      <w:r>
        <w:rPr>
          <w:rFonts w:ascii="Times New Roman" w:hAnsi="Times New Roman"/>
          <w:sz w:val="24"/>
          <w:szCs w:val="24"/>
          <w:vertAlign w:val="superscript"/>
        </w:rPr>
        <w:t>2</w:t>
      </w:r>
      <w:r>
        <w:rPr>
          <w:rFonts w:ascii="Times New Roman" w:hAnsi="Times New Roman"/>
          <w:sz w:val="24"/>
          <w:szCs w:val="24"/>
        </w:rPr>
        <w:t>) на вид и характеристики неупругих эффектов внутреннего трения, модуля упругости и параметры тонкой структуры железоуглеродистых сплавов.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Обнаруженное экспериментально в деформированных малоуглеродистой стали 20 и спл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ве </w:t>
      </w:r>
      <w:r>
        <w:rPr>
          <w:rFonts w:ascii="Times New Roman" w:hAnsi="Times New Roman"/>
          <w:i/>
          <w:sz w:val="24"/>
          <w:szCs w:val="24"/>
          <w:lang w:val="en-US"/>
        </w:rPr>
        <w:t>Fe</w:t>
      </w:r>
      <w:r>
        <w:rPr>
          <w:rFonts w:ascii="Times New Roman" w:hAnsi="Times New Roman"/>
          <w:sz w:val="24"/>
          <w:szCs w:val="24"/>
        </w:rPr>
        <w:t xml:space="preserve">-0,09 % </w:t>
      </w:r>
      <w:r>
        <w:rPr>
          <w:rFonts w:ascii="Times New Roman" w:hAnsi="Times New Roman"/>
          <w:i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 xml:space="preserve"> перераспределение углерода в феррите после предварительного статического деформирования в интервале </w:t>
      </w:r>
      <w:r>
        <w:rPr>
          <w:rFonts w:ascii="Times New Roman" w:hAnsi="Times New Roman"/>
          <w:sz w:val="28"/>
          <w:szCs w:val="28"/>
        </w:rPr>
        <w:t xml:space="preserve">ε </w:t>
      </w:r>
      <w:r>
        <w:rPr>
          <w:rFonts w:ascii="Times New Roman" w:hAnsi="Times New Roman"/>
          <w:sz w:val="24"/>
          <w:szCs w:val="24"/>
        </w:rPr>
        <w:t>= 0…20 %.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Разработаны феноменологические модели развития деградации и деструкции в ходе ст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тического деформирования и электролитического наводороживания.</w:t>
      </w:r>
    </w:p>
    <w:p w:rsidR="00F855BB" w:rsidRDefault="00F855BB" w:rsidP="00F855BB">
      <w:pPr>
        <w:pStyle w:val="21"/>
        <w:widowControl w:val="0"/>
        <w:tabs>
          <w:tab w:val="left" w:pos="142"/>
          <w:tab w:val="left" w:pos="709"/>
          <w:tab w:val="left" w:pos="1134"/>
        </w:tabs>
        <w:overflowPunct/>
        <w:autoSpaceDE/>
        <w:autoSpaceDN/>
        <w:adjustRightInd/>
        <w:ind w:firstLine="0"/>
        <w:jc w:val="both"/>
        <w:textAlignment w:val="auto"/>
        <w:rPr>
          <w:szCs w:val="24"/>
        </w:rPr>
      </w:pPr>
      <w:r>
        <w:rPr>
          <w:szCs w:val="24"/>
        </w:rPr>
        <w:t>4. Определены уровни пороговых напряжений в коллекторах, превышение которых приводит к водородному охрупчиванию с реализацией водородной локализации пластичности малоу</w:t>
      </w:r>
      <w:r>
        <w:rPr>
          <w:szCs w:val="24"/>
        </w:rPr>
        <w:t>г</w:t>
      </w:r>
      <w:r>
        <w:rPr>
          <w:szCs w:val="24"/>
        </w:rPr>
        <w:t>леродистых сталей в водородсодержащих средах.</w:t>
      </w:r>
    </w:p>
    <w:p w:rsidR="00642EAA" w:rsidRDefault="00642EAA" w:rsidP="00F855BB">
      <w:pPr>
        <w:widowControl w:val="0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Личный вклад автора</w:t>
      </w:r>
      <w:r>
        <w:rPr>
          <w:rFonts w:ascii="Times New Roman" w:hAnsi="Times New Roman"/>
          <w:sz w:val="24"/>
          <w:szCs w:val="24"/>
        </w:rPr>
        <w:t xml:space="preserve"> при выполнении диссертационной работы выразился в опр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делении актуальности работы и постановке задач исследования; проведении измерений спектров внутреннего трения, модуля упругости, металлографического, рентгеноструктурн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го, дюрометрического анализов, механических испытаний, электролитического наводорож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вания; разработке концепции повреждаемости железоуглеродистых сплавов и построении феноменологических моделей деформационной и водородной повреждаемости;  участии в оптимизации конструкции установки ИДСМ-1 и разработке программы для ЭВМ; обсужд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нии, анализе и интерпретации полученных данных; формулировке научных выводов; пре</w:t>
      </w:r>
      <w:r>
        <w:rPr>
          <w:rFonts w:ascii="Times New Roman" w:hAnsi="Times New Roman"/>
          <w:sz w:val="24"/>
          <w:szCs w:val="24"/>
        </w:rPr>
        <w:t>д</w:t>
      </w:r>
      <w:r>
        <w:rPr>
          <w:rFonts w:ascii="Times New Roman" w:hAnsi="Times New Roman"/>
          <w:sz w:val="24"/>
          <w:szCs w:val="24"/>
        </w:rPr>
        <w:t>ставлении докладов на НТК и опубликовании статей по материалам исследований.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Достоверность результатов</w:t>
      </w:r>
      <w:r>
        <w:rPr>
          <w:rFonts w:ascii="Times New Roman" w:hAnsi="Times New Roman"/>
          <w:sz w:val="24"/>
          <w:szCs w:val="24"/>
        </w:rPr>
        <w:t>, полученных в работе и их интерпретации обеспечены применением физически обоснованных подходов при построении феноменологических м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делей повреждаемости; использованием: а) современных стандартизированных методов м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таллофизического исследования, б) статистических методов обработки результатов экспер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мента при помощи современных ППП; количественным согласием результатов экспериме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тов и расчетов с совокупностью существующих литературных данных других авторов.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Практическая значимость работы 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Разработана и экспериментально апробирована методика изучения деформацио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ной и  водородной повреждаемости железоуглеродистых сплавов на базе комплексного ан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лиза параметров неупругих эффектов ВТ и характеристик тонкой- и микроструктуры.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Полученные сведения об изменении параметров суб- и микроструктуры от велич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ны действующих факторов могут быть использованы для разработки режимов обработок м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лоуглеродистых сталей и сплавов системы </w:t>
      </w:r>
      <w:r>
        <w:rPr>
          <w:rFonts w:ascii="Times New Roman" w:hAnsi="Times New Roman"/>
          <w:i/>
          <w:sz w:val="24"/>
          <w:szCs w:val="24"/>
          <w:lang w:val="en-US"/>
        </w:rPr>
        <w:t>Fe</w:t>
      </w:r>
      <w:r>
        <w:rPr>
          <w:rFonts w:ascii="Times New Roman" w:hAnsi="Times New Roman"/>
          <w:i/>
          <w:sz w:val="24"/>
          <w:szCs w:val="24"/>
        </w:rPr>
        <w:t>-</w:t>
      </w:r>
      <w:r>
        <w:rPr>
          <w:rFonts w:ascii="Times New Roman" w:hAnsi="Times New Roman"/>
          <w:i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>, подвергаемых статическому деформиров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нию и контакту с водородсодержащими средами.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Информация о механизмах водородной повреждаемости может быть использована при оптимизации технологических режимов электролитического нанесения покрытий и обезводороживания.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Получены заключения и акты полезности использования результатов работы ООО «Тулапромприбор», ОАО «НовомосковскРемЭнерго», ООО «МеталургТулаМаш».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Результаты работы использованы в учебном курсе «Физика прочности и пластичн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сти» и подготовке ВКР студентов специальности 010701 «Физика» Тульского государстве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ного университета.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 Усовершенствованы конструкция установки и алгоритм управление процессами терморегуляции и измерения ТЗВТ и динамического модуля упругости. Повышена стабил</w:t>
      </w:r>
      <w:r>
        <w:rPr>
          <w:rFonts w:ascii="Times New Roman" w:hAnsi="Times New Roman"/>
          <w:sz w:val="24"/>
          <w:szCs w:val="24"/>
        </w:rPr>
        <w:t>ь</w:t>
      </w:r>
      <w:r>
        <w:rPr>
          <w:rFonts w:ascii="Times New Roman" w:hAnsi="Times New Roman"/>
          <w:sz w:val="24"/>
          <w:szCs w:val="24"/>
        </w:rPr>
        <w:t>ность регулирования скорости нагрева и фиксации выходного сигнала. Разработано пр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lastRenderedPageBreak/>
        <w:t>граммное обеспечение для улучшения качества измерений ТЗВТ и ТЗМУ, а также фиксации и визуализации их результатов. Получено «Свидетельство о государственной регистрации программы для ЭВМ «Программа управления процессом измерения внутреннего трения и модуля упругости» (Роспатент №2012613659).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Апробация работы 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Основные результаты работы доложены и обсуждены: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bCs/>
          <w:sz w:val="24"/>
          <w:szCs w:val="24"/>
          <w:lang w:val="en-US"/>
        </w:rPr>
        <w:t>XVI</w:t>
      </w:r>
      <w:r>
        <w:rPr>
          <w:rFonts w:ascii="Times New Roman" w:hAnsi="Times New Roman"/>
          <w:bCs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XVIII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XIX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XX</w:t>
      </w:r>
      <w:r>
        <w:rPr>
          <w:rFonts w:ascii="Times New Roman" w:hAnsi="Times New Roman"/>
          <w:bCs/>
          <w:sz w:val="24"/>
          <w:szCs w:val="24"/>
        </w:rPr>
        <w:t xml:space="preserve"> Петербургских чтениях по проблемам прочности, </w:t>
      </w:r>
      <w:r>
        <w:rPr>
          <w:rFonts w:ascii="Times New Roman" w:hAnsi="Times New Roman"/>
          <w:sz w:val="24"/>
          <w:szCs w:val="24"/>
        </w:rPr>
        <w:t xml:space="preserve">Санкт-Петербург, 2006, 2008, 2010, 2012 гг.; - </w:t>
      </w:r>
      <w:r>
        <w:rPr>
          <w:rFonts w:ascii="Times New Roman" w:hAnsi="Times New Roman"/>
          <w:sz w:val="24"/>
          <w:szCs w:val="24"/>
          <w:lang w:val="en-US"/>
        </w:rPr>
        <w:t>XVI</w:t>
      </w:r>
      <w:r>
        <w:rPr>
          <w:rFonts w:ascii="Times New Roman" w:hAnsi="Times New Roman"/>
          <w:sz w:val="24"/>
          <w:szCs w:val="24"/>
        </w:rPr>
        <w:t xml:space="preserve"> Межд. конф. «Физика прочности и пластичности матери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лов», 2006 г., Самара, Россия, СамГТУ, 2006; - Межд. научн.-практ. конф. </w:t>
      </w:r>
      <w:r>
        <w:rPr>
          <w:rFonts w:ascii="Times New Roman" w:hAnsi="Times New Roman"/>
          <w:sz w:val="24"/>
          <w:szCs w:val="24"/>
          <w:lang w:val="en-US"/>
        </w:rPr>
        <w:t xml:space="preserve">«STRUCTURAL RELAXATION IN SOLIDS», 2006, 2012 Vinnitsa, Ukraine; -  I, II, IV </w:t>
      </w:r>
      <w:r>
        <w:rPr>
          <w:rFonts w:ascii="Times New Roman" w:hAnsi="Times New Roman"/>
          <w:sz w:val="24"/>
          <w:szCs w:val="24"/>
        </w:rPr>
        <w:t>Межд</w:t>
      </w:r>
      <w:r>
        <w:rPr>
          <w:rFonts w:ascii="Times New Roman" w:hAnsi="Times New Roman"/>
          <w:sz w:val="24"/>
          <w:szCs w:val="24"/>
          <w:lang w:val="en-US"/>
        </w:rPr>
        <w:t xml:space="preserve">. </w:t>
      </w:r>
      <w:r>
        <w:rPr>
          <w:rFonts w:ascii="Times New Roman" w:hAnsi="Times New Roman"/>
          <w:sz w:val="24"/>
          <w:szCs w:val="24"/>
        </w:rPr>
        <w:t>конф</w:t>
      </w:r>
      <w:r>
        <w:rPr>
          <w:rFonts w:ascii="Times New Roman" w:hAnsi="Times New Roman"/>
          <w:sz w:val="24"/>
          <w:szCs w:val="24"/>
          <w:lang w:val="en-US"/>
        </w:rPr>
        <w:t xml:space="preserve">.  </w:t>
      </w:r>
      <w:r>
        <w:rPr>
          <w:rFonts w:ascii="Times New Roman" w:hAnsi="Times New Roman"/>
          <w:sz w:val="24"/>
          <w:szCs w:val="24"/>
        </w:rPr>
        <w:t>«Деформ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ция и разрушение материалов и наноматериалов», (</w:t>
      </w:r>
      <w:r>
        <w:rPr>
          <w:rFonts w:ascii="Times New Roman" w:hAnsi="Times New Roman"/>
          <w:sz w:val="24"/>
          <w:szCs w:val="24"/>
          <w:lang w:val="en-US"/>
        </w:rPr>
        <w:t>DFM</w:t>
      </w:r>
      <w:r>
        <w:rPr>
          <w:rFonts w:ascii="Times New Roman" w:hAnsi="Times New Roman"/>
          <w:sz w:val="24"/>
          <w:szCs w:val="24"/>
        </w:rPr>
        <w:t>), (</w:t>
      </w:r>
      <w:r>
        <w:rPr>
          <w:rFonts w:ascii="Times New Roman" w:hAnsi="Times New Roman"/>
          <w:sz w:val="24"/>
          <w:szCs w:val="24"/>
          <w:lang w:val="en-US"/>
        </w:rPr>
        <w:t>DFMN</w:t>
      </w:r>
      <w:r>
        <w:rPr>
          <w:rFonts w:ascii="Times New Roman" w:hAnsi="Times New Roman"/>
          <w:sz w:val="24"/>
          <w:szCs w:val="24"/>
        </w:rPr>
        <w:t xml:space="preserve">). Москва, 2006, 2009, 2011 гг.;  -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 Межд. научн.-практич. конф. «Образование, наука, инновации – вклад молодых и</w:t>
      </w: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следователей», КемГУ, Кемерово, Россия, 2007 г.; - </w:t>
      </w:r>
      <w:r>
        <w:rPr>
          <w:rFonts w:ascii="Times New Roman" w:hAnsi="Times New Roman"/>
          <w:sz w:val="24"/>
          <w:szCs w:val="24"/>
          <w:lang w:val="en-US"/>
        </w:rPr>
        <w:t>XI</w:t>
      </w:r>
      <w:r>
        <w:rPr>
          <w:rFonts w:ascii="Times New Roman" w:hAnsi="Times New Roman"/>
          <w:sz w:val="24"/>
          <w:szCs w:val="24"/>
        </w:rPr>
        <w:t xml:space="preserve"> Межд. конф. «Взаимодействие дефе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тов и  неупругие явления в твердых телах» (</w:t>
      </w:r>
      <w:r>
        <w:rPr>
          <w:rFonts w:ascii="Times New Roman" w:hAnsi="Times New Roman"/>
          <w:sz w:val="24"/>
          <w:szCs w:val="24"/>
          <w:lang w:val="en-US"/>
        </w:rPr>
        <w:t>IIAPS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XI</w:t>
      </w:r>
      <w:r>
        <w:rPr>
          <w:rFonts w:ascii="Times New Roman" w:hAnsi="Times New Roman"/>
          <w:sz w:val="24"/>
          <w:szCs w:val="24"/>
        </w:rPr>
        <w:t xml:space="preserve">), ТулГУ, Тула, Россия, 2007 г.;  - </w:t>
      </w:r>
      <w:r>
        <w:rPr>
          <w:rFonts w:ascii="Times New Roman" w:hAnsi="Times New Roman"/>
          <w:sz w:val="24"/>
          <w:szCs w:val="24"/>
          <w:lang w:val="en-US"/>
        </w:rPr>
        <w:t>XL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 межд. конф. «Актуальные проблемы прочности», Нижний Новгород, 2008 г.;  </w:t>
      </w: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 xml:space="preserve"> IX, </w:t>
      </w:r>
      <w:r>
        <w:rPr>
          <w:rFonts w:ascii="Times New Roman" w:hAnsi="Times New Roman"/>
          <w:sz w:val="24"/>
          <w:szCs w:val="24"/>
          <w:lang w:val="en-US"/>
        </w:rPr>
        <w:t>X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XI</w:t>
      </w:r>
      <w:r>
        <w:rPr>
          <w:rFonts w:ascii="Times New Roman" w:hAnsi="Times New Roman"/>
          <w:sz w:val="24"/>
          <w:szCs w:val="24"/>
        </w:rPr>
        <w:t>, XII Межд. научно-техн. «Уральских школах-семинарах металловедов-молодых ученых», Екат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ринбург, УГТУ УПИ, УрФУ, Россия,  2008, 2009, 2010, 2011 гг.;   - </w:t>
      </w:r>
      <w:r>
        <w:rPr>
          <w:rFonts w:ascii="Times New Roman" w:hAnsi="Times New Roman"/>
          <w:sz w:val="24"/>
          <w:szCs w:val="24"/>
          <w:lang w:val="en-US"/>
        </w:rPr>
        <w:t>V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VI</w:t>
      </w:r>
      <w:r>
        <w:rPr>
          <w:rFonts w:ascii="Times New Roman" w:hAnsi="Times New Roman"/>
          <w:sz w:val="24"/>
          <w:szCs w:val="24"/>
        </w:rPr>
        <w:t>-й Евразийской н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уч.-практ. конф. «Прочность неоднородных структур» (ПРОСТ), Москва, «НИТУ «МИСиС», 2010, 2012 г.; - </w:t>
      </w:r>
      <w:r>
        <w:rPr>
          <w:rFonts w:ascii="Times New Roman" w:hAnsi="Times New Roman"/>
          <w:sz w:val="24"/>
          <w:szCs w:val="24"/>
          <w:lang w:val="en-US"/>
        </w:rPr>
        <w:t>VI</w:t>
      </w:r>
      <w:r>
        <w:rPr>
          <w:rFonts w:ascii="Times New Roman" w:hAnsi="Times New Roman"/>
          <w:sz w:val="24"/>
          <w:szCs w:val="24"/>
        </w:rPr>
        <w:t xml:space="preserve"> НТК «Автоматизация и энергосбережение машиностроительного и мета</w:t>
      </w:r>
      <w:r>
        <w:rPr>
          <w:rFonts w:ascii="Times New Roman" w:hAnsi="Times New Roman"/>
          <w:sz w:val="24"/>
          <w:szCs w:val="24"/>
        </w:rPr>
        <w:t>л</w:t>
      </w:r>
      <w:r>
        <w:rPr>
          <w:rFonts w:ascii="Times New Roman" w:hAnsi="Times New Roman"/>
          <w:sz w:val="24"/>
          <w:szCs w:val="24"/>
        </w:rPr>
        <w:t>лургического производств, технология и надежность машин, приборов и оборудования», В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ГТУ, Вологда, 2010 г.; - </w:t>
      </w:r>
      <w:r>
        <w:rPr>
          <w:rFonts w:ascii="Times New Roman" w:hAnsi="Times New Roman"/>
          <w:sz w:val="24"/>
          <w:szCs w:val="24"/>
          <w:lang w:val="en-US"/>
        </w:rPr>
        <w:t>V</w:t>
      </w:r>
      <w:r>
        <w:rPr>
          <w:rFonts w:ascii="Times New Roman" w:hAnsi="Times New Roman"/>
          <w:sz w:val="24"/>
          <w:szCs w:val="24"/>
        </w:rPr>
        <w:t xml:space="preserve"> Общеросс. научн.-практич. конф. с междунар. участием «Акт</w:t>
      </w:r>
      <w:r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 xml:space="preserve">альные вопросы современной науки и образования».- Красноярск: Научн. Инновац. Центр, 2010 г.;   - </w:t>
      </w:r>
      <w:r>
        <w:rPr>
          <w:rFonts w:ascii="Times New Roman" w:hAnsi="Times New Roman"/>
          <w:sz w:val="24"/>
          <w:szCs w:val="24"/>
          <w:lang w:val="en-US"/>
        </w:rPr>
        <w:t>V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VI</w:t>
      </w:r>
      <w:r>
        <w:rPr>
          <w:rFonts w:ascii="Times New Roman" w:hAnsi="Times New Roman"/>
          <w:sz w:val="24"/>
          <w:szCs w:val="24"/>
        </w:rPr>
        <w:t xml:space="preserve"> Межд. науч. конф. с элементами науч. школы для молодежи «Микромех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низмы пластичности, разрушения и сопутствующих явлений», Тамбов 2010, Тольятти 2011 гг.;  - </w:t>
      </w:r>
      <w:r>
        <w:rPr>
          <w:rFonts w:ascii="Times New Roman" w:hAnsi="Times New Roman"/>
          <w:sz w:val="24"/>
          <w:szCs w:val="24"/>
          <w:lang w:val="en-US"/>
        </w:rPr>
        <w:t>V</w:t>
      </w:r>
      <w:r>
        <w:rPr>
          <w:rFonts w:ascii="Times New Roman" w:hAnsi="Times New Roman"/>
          <w:sz w:val="24"/>
          <w:szCs w:val="24"/>
        </w:rPr>
        <w:t xml:space="preserve"> Межд. школе «Физическое материаловедение», ТГУ, Тольятти, 2011 г;  - </w:t>
      </w:r>
      <w:r>
        <w:rPr>
          <w:rFonts w:ascii="Times New Roman" w:hAnsi="Times New Roman"/>
          <w:bCs/>
          <w:sz w:val="24"/>
          <w:szCs w:val="24"/>
        </w:rPr>
        <w:t>Межд. конф. с элементами науч. школы для молодежи</w:t>
      </w:r>
      <w:r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bCs/>
          <w:sz w:val="24"/>
          <w:szCs w:val="24"/>
        </w:rPr>
        <w:t>Наноматериалы и нанотехнологии в мета</w:t>
      </w:r>
      <w:r>
        <w:rPr>
          <w:rFonts w:ascii="Times New Roman" w:hAnsi="Times New Roman"/>
          <w:bCs/>
          <w:sz w:val="24"/>
          <w:szCs w:val="24"/>
        </w:rPr>
        <w:t>л</w:t>
      </w:r>
      <w:r>
        <w:rPr>
          <w:rFonts w:ascii="Times New Roman" w:hAnsi="Times New Roman"/>
          <w:bCs/>
          <w:sz w:val="24"/>
          <w:szCs w:val="24"/>
        </w:rPr>
        <w:t xml:space="preserve">лургии и материаловедении», БелГУ, Белгород, 2011 г.;  - </w:t>
      </w:r>
      <w:r>
        <w:rPr>
          <w:rFonts w:ascii="Times New Roman" w:hAnsi="Times New Roman"/>
          <w:sz w:val="24"/>
          <w:szCs w:val="24"/>
          <w:lang w:eastAsia="ru-RU"/>
        </w:rPr>
        <w:t xml:space="preserve">VIII </w:t>
      </w:r>
      <w:r>
        <w:rPr>
          <w:rFonts w:ascii="Times New Roman" w:eastAsia="TimesNewRomanPSMT" w:hAnsi="Times New Roman"/>
          <w:sz w:val="24"/>
          <w:szCs w:val="24"/>
          <w:lang w:eastAsia="ru-RU"/>
        </w:rPr>
        <w:t>Росс. ежегодной конф. мол</w:t>
      </w:r>
      <w:r>
        <w:rPr>
          <w:rFonts w:ascii="Times New Roman" w:eastAsia="TimesNewRomanPSMT" w:hAnsi="Times New Roman"/>
          <w:sz w:val="24"/>
          <w:szCs w:val="24"/>
          <w:lang w:eastAsia="ru-RU"/>
        </w:rPr>
        <w:t>о</w:t>
      </w:r>
      <w:r>
        <w:rPr>
          <w:rFonts w:ascii="Times New Roman" w:eastAsia="TimesNewRomanPSMT" w:hAnsi="Times New Roman"/>
          <w:sz w:val="24"/>
          <w:szCs w:val="24"/>
          <w:lang w:eastAsia="ru-RU"/>
        </w:rPr>
        <w:t>дых науч. сотрудников и аспирантов «Физико</w:t>
      </w:r>
      <w:r>
        <w:rPr>
          <w:rFonts w:ascii="Times New Roman" w:hAnsi="Times New Roman"/>
          <w:sz w:val="24"/>
          <w:szCs w:val="24"/>
          <w:lang w:eastAsia="ru-RU"/>
        </w:rPr>
        <w:t>-</w:t>
      </w:r>
      <w:r>
        <w:rPr>
          <w:rFonts w:ascii="Times New Roman" w:eastAsia="TimesNewRomanPSMT" w:hAnsi="Times New Roman"/>
          <w:sz w:val="24"/>
          <w:szCs w:val="24"/>
          <w:lang w:eastAsia="ru-RU"/>
        </w:rPr>
        <w:t>химия и технология неорганических матери</w:t>
      </w:r>
      <w:r>
        <w:rPr>
          <w:rFonts w:ascii="Times New Roman" w:eastAsia="TimesNewRomanPSMT" w:hAnsi="Times New Roman"/>
          <w:sz w:val="24"/>
          <w:szCs w:val="24"/>
          <w:lang w:eastAsia="ru-RU"/>
        </w:rPr>
        <w:t>а</w:t>
      </w:r>
      <w:r>
        <w:rPr>
          <w:rFonts w:ascii="Times New Roman" w:eastAsia="TimesNewRomanPSMT" w:hAnsi="Times New Roman"/>
          <w:sz w:val="24"/>
          <w:szCs w:val="24"/>
          <w:lang w:eastAsia="ru-RU"/>
        </w:rPr>
        <w:t>лов», ИМЕТ РАН, Москва, 2011 г</w:t>
      </w:r>
      <w:r>
        <w:rPr>
          <w:rFonts w:ascii="Times New Roman" w:hAnsi="Times New Roman"/>
          <w:sz w:val="24"/>
          <w:szCs w:val="24"/>
          <w:lang w:eastAsia="ru-RU"/>
        </w:rPr>
        <w:t xml:space="preserve">.; -  </w:t>
      </w:r>
      <w:r>
        <w:rPr>
          <w:rFonts w:ascii="Times New Roman" w:hAnsi="Times New Roman"/>
          <w:bCs/>
          <w:sz w:val="24"/>
          <w:szCs w:val="24"/>
        </w:rPr>
        <w:t>«Национальной науч.-техн. конф.  ННТК-2011»</w:t>
      </w:r>
      <w:r>
        <w:rPr>
          <w:rFonts w:ascii="Times New Roman" w:hAnsi="Times New Roman"/>
          <w:sz w:val="24"/>
          <w:szCs w:val="24"/>
        </w:rPr>
        <w:t>, Союз машиностроителей России, МГТУ им. Баумана, Москва, 2011 г.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Публикации.</w:t>
      </w:r>
      <w:r>
        <w:rPr>
          <w:rFonts w:ascii="Times New Roman" w:hAnsi="Times New Roman"/>
          <w:sz w:val="24"/>
          <w:szCs w:val="24"/>
        </w:rPr>
        <w:t xml:space="preserve"> Основное содержание работы отражено в 30 научных публикациях, </w:t>
      </w:r>
      <w:r w:rsidR="002C270F">
        <w:rPr>
          <w:rFonts w:ascii="Times New Roman" w:hAnsi="Times New Roman"/>
          <w:sz w:val="24"/>
          <w:szCs w:val="24"/>
        </w:rPr>
        <w:t>из них</w:t>
      </w:r>
      <w:r>
        <w:rPr>
          <w:rFonts w:ascii="Times New Roman" w:hAnsi="Times New Roman"/>
          <w:sz w:val="24"/>
          <w:szCs w:val="24"/>
        </w:rPr>
        <w:t xml:space="preserve"> 1</w:t>
      </w:r>
      <w:r w:rsidR="004A1758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 xml:space="preserve"> </w:t>
      </w:r>
      <w:r w:rsidR="002C270F">
        <w:rPr>
          <w:rFonts w:ascii="Times New Roman" w:hAnsi="Times New Roman"/>
          <w:sz w:val="24"/>
          <w:szCs w:val="24"/>
        </w:rPr>
        <w:t>в рецензируемых научных журналах</w:t>
      </w:r>
      <w:r>
        <w:rPr>
          <w:rFonts w:ascii="Times New Roman" w:hAnsi="Times New Roman"/>
          <w:sz w:val="24"/>
          <w:szCs w:val="24"/>
        </w:rPr>
        <w:t>.</w:t>
      </w:r>
    </w:p>
    <w:p w:rsidR="00F855BB" w:rsidRDefault="004A1758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Структура и о</w:t>
      </w:r>
      <w:r w:rsidR="00F855BB">
        <w:rPr>
          <w:rFonts w:ascii="Times New Roman" w:hAnsi="Times New Roman"/>
          <w:b/>
          <w:sz w:val="24"/>
          <w:szCs w:val="24"/>
        </w:rPr>
        <w:t>бъем диссертации.</w:t>
      </w:r>
      <w:r w:rsidR="00F855BB">
        <w:rPr>
          <w:rFonts w:ascii="Times New Roman" w:hAnsi="Times New Roman"/>
          <w:sz w:val="24"/>
          <w:szCs w:val="24"/>
        </w:rPr>
        <w:t xml:space="preserve">  Диссертация состоит из введения, четырех глав, заключения</w:t>
      </w:r>
      <w:r>
        <w:rPr>
          <w:rFonts w:ascii="Times New Roman" w:hAnsi="Times New Roman"/>
          <w:sz w:val="24"/>
          <w:szCs w:val="24"/>
        </w:rPr>
        <w:t xml:space="preserve">, </w:t>
      </w:r>
      <w:r w:rsidR="00F855BB">
        <w:rPr>
          <w:rFonts w:ascii="Times New Roman" w:hAnsi="Times New Roman"/>
          <w:sz w:val="24"/>
          <w:szCs w:val="24"/>
        </w:rPr>
        <w:t>основны</w:t>
      </w:r>
      <w:r>
        <w:rPr>
          <w:rFonts w:ascii="Times New Roman" w:hAnsi="Times New Roman"/>
          <w:sz w:val="24"/>
          <w:szCs w:val="24"/>
        </w:rPr>
        <w:t>х</w:t>
      </w:r>
      <w:r w:rsidR="00F855BB">
        <w:rPr>
          <w:rFonts w:ascii="Times New Roman" w:hAnsi="Times New Roman"/>
          <w:sz w:val="24"/>
          <w:szCs w:val="24"/>
        </w:rPr>
        <w:t xml:space="preserve"> результат</w:t>
      </w:r>
      <w:r>
        <w:rPr>
          <w:rFonts w:ascii="Times New Roman" w:hAnsi="Times New Roman"/>
          <w:sz w:val="24"/>
          <w:szCs w:val="24"/>
        </w:rPr>
        <w:t>ов</w:t>
      </w:r>
      <w:r w:rsidR="00F855BB">
        <w:rPr>
          <w:rFonts w:ascii="Times New Roman" w:hAnsi="Times New Roman"/>
          <w:sz w:val="24"/>
          <w:szCs w:val="24"/>
        </w:rPr>
        <w:t xml:space="preserve"> и вывод</w:t>
      </w:r>
      <w:r>
        <w:rPr>
          <w:rFonts w:ascii="Times New Roman" w:hAnsi="Times New Roman"/>
          <w:sz w:val="24"/>
          <w:szCs w:val="24"/>
        </w:rPr>
        <w:t>ов</w:t>
      </w:r>
      <w:r w:rsidR="002C270F">
        <w:rPr>
          <w:rFonts w:ascii="Times New Roman" w:hAnsi="Times New Roman"/>
          <w:sz w:val="24"/>
          <w:szCs w:val="24"/>
        </w:rPr>
        <w:t>, библиографического списка из 218 наимен</w:t>
      </w:r>
      <w:r w:rsidR="002C270F">
        <w:rPr>
          <w:rFonts w:ascii="Times New Roman" w:hAnsi="Times New Roman"/>
          <w:sz w:val="24"/>
          <w:szCs w:val="24"/>
        </w:rPr>
        <w:t>о</w:t>
      </w:r>
      <w:r w:rsidR="002C270F">
        <w:rPr>
          <w:rFonts w:ascii="Times New Roman" w:hAnsi="Times New Roman"/>
          <w:sz w:val="24"/>
          <w:szCs w:val="24"/>
        </w:rPr>
        <w:t>ваний и приложений</w:t>
      </w:r>
      <w:r w:rsidR="00F855BB">
        <w:rPr>
          <w:rFonts w:ascii="Times New Roman" w:hAnsi="Times New Roman"/>
          <w:sz w:val="24"/>
          <w:szCs w:val="24"/>
        </w:rPr>
        <w:t xml:space="preserve">. </w:t>
      </w:r>
      <w:r w:rsidR="002C270F">
        <w:rPr>
          <w:rFonts w:ascii="Times New Roman" w:hAnsi="Times New Roman"/>
          <w:sz w:val="24"/>
          <w:szCs w:val="24"/>
        </w:rPr>
        <w:t>Общий объём работы составляет</w:t>
      </w:r>
      <w:r w:rsidR="00F855B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233</w:t>
      </w:r>
      <w:r w:rsidR="00F855BB">
        <w:rPr>
          <w:rFonts w:ascii="Times New Roman" w:hAnsi="Times New Roman"/>
          <w:sz w:val="24"/>
          <w:szCs w:val="24"/>
        </w:rPr>
        <w:t xml:space="preserve"> страниц машинописного текста, включая </w:t>
      </w:r>
      <w:r w:rsidR="002C270F">
        <w:rPr>
          <w:rFonts w:ascii="Times New Roman" w:hAnsi="Times New Roman"/>
          <w:sz w:val="24"/>
          <w:szCs w:val="24"/>
        </w:rPr>
        <w:t>173</w:t>
      </w:r>
      <w:r w:rsidR="00F855BB">
        <w:rPr>
          <w:rFonts w:ascii="Times New Roman" w:hAnsi="Times New Roman"/>
          <w:sz w:val="24"/>
          <w:szCs w:val="24"/>
        </w:rPr>
        <w:t xml:space="preserve"> </w:t>
      </w:r>
      <w:r w:rsidR="002C270F">
        <w:rPr>
          <w:rFonts w:ascii="Times New Roman" w:hAnsi="Times New Roman"/>
          <w:sz w:val="24"/>
          <w:szCs w:val="24"/>
        </w:rPr>
        <w:t>иллюстрации и</w:t>
      </w:r>
      <w:r w:rsidR="00F855BB">
        <w:rPr>
          <w:rFonts w:ascii="Times New Roman" w:hAnsi="Times New Roman"/>
          <w:sz w:val="24"/>
          <w:szCs w:val="24"/>
        </w:rPr>
        <w:t xml:space="preserve"> </w:t>
      </w:r>
      <w:r w:rsidR="002C270F">
        <w:rPr>
          <w:rFonts w:ascii="Times New Roman" w:hAnsi="Times New Roman"/>
          <w:sz w:val="24"/>
          <w:szCs w:val="24"/>
        </w:rPr>
        <w:t>14</w:t>
      </w:r>
      <w:r w:rsidR="00F855BB">
        <w:rPr>
          <w:rFonts w:ascii="Times New Roman" w:hAnsi="Times New Roman"/>
          <w:sz w:val="24"/>
          <w:szCs w:val="24"/>
        </w:rPr>
        <w:t xml:space="preserve"> таблиц.</w:t>
      </w:r>
    </w:p>
    <w:p w:rsidR="00EF699E" w:rsidRDefault="00EF699E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ОСНОВНОЕ СОДЕРЖАНИЕ РАБОТЫ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Во введении </w:t>
      </w:r>
      <w:r w:rsidRPr="00DC231D">
        <w:rPr>
          <w:rFonts w:ascii="Times New Roman" w:hAnsi="Times New Roman"/>
          <w:sz w:val="24"/>
          <w:szCs w:val="24"/>
        </w:rPr>
        <w:t>дана</w:t>
      </w:r>
      <w:r>
        <w:rPr>
          <w:rFonts w:ascii="Times New Roman" w:hAnsi="Times New Roman"/>
          <w:sz w:val="24"/>
          <w:szCs w:val="24"/>
        </w:rPr>
        <w:t xml:space="preserve"> общая характеристика диссертационной работы, обоснована акт</w:t>
      </w:r>
      <w:r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>альность темы, сформулирована цель работы. Перечислены полученные в диссертации н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вые результаты, их практическая ценность, указаны основные положения, выносимые на з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щиту.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Первая глава</w:t>
      </w:r>
      <w:r>
        <w:rPr>
          <w:rFonts w:ascii="Times New Roman" w:hAnsi="Times New Roman"/>
          <w:sz w:val="24"/>
          <w:szCs w:val="24"/>
        </w:rPr>
        <w:t xml:space="preserve"> состоит из двух частей. </w:t>
      </w:r>
      <w:r>
        <w:rPr>
          <w:rFonts w:ascii="Times New Roman" w:hAnsi="Times New Roman"/>
          <w:i/>
          <w:sz w:val="24"/>
          <w:szCs w:val="24"/>
        </w:rPr>
        <w:t>Первая часть</w:t>
      </w:r>
      <w:r>
        <w:rPr>
          <w:rFonts w:ascii="Times New Roman" w:hAnsi="Times New Roman"/>
          <w:sz w:val="24"/>
          <w:szCs w:val="24"/>
        </w:rPr>
        <w:t xml:space="preserve"> является аналитическим обзором литературы и содержит сведения о понятиях «повреждаемость», «деградация» и «дестру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ция», а также о причинах, вызывающих развитие указанных процессов, важнейших факт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рах, влияющих на эволюцию деформационной и водородной повреждаемости. Приведены основные механизмы и модели развития этих процессов. Обоснована практическая знач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мость мониторинга за повреждаемостью различной природы.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Основываясь на работах И.А. Одинга, И.А. Либерова, Ю.П. Ровинского, Л.М. Рыб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ковой, Л.Р. Ботвиной, проведен анализ стадийности развития повреждаемости.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Вторая часть</w:t>
      </w:r>
      <w:r>
        <w:rPr>
          <w:rFonts w:ascii="Times New Roman" w:hAnsi="Times New Roman"/>
          <w:sz w:val="24"/>
          <w:szCs w:val="24"/>
        </w:rPr>
        <w:t xml:space="preserve"> первой главы посвящена разработке комплексной концепции развития повреждаемости железоуглеродистых сплавов. Анализ повреждаемости провели в рамках </w:t>
      </w:r>
      <w:r>
        <w:rPr>
          <w:rFonts w:ascii="Times New Roman" w:hAnsi="Times New Roman"/>
          <w:sz w:val="24"/>
          <w:szCs w:val="24"/>
        </w:rPr>
        <w:lastRenderedPageBreak/>
        <w:t>силовой концепции внезапного разрушения Гриффитса-Орована, теории вязко-хрупкого п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рехода А. Коттрела - Н. Петча, кинетической теории длительной прочности С.Н. Журкова, Л.М. Качанова, Ю.Н. Работнова, статистического подхода М. Хирата, Т. Екобори (и его ра</w:t>
      </w:r>
      <w:r>
        <w:rPr>
          <w:rFonts w:ascii="Times New Roman" w:hAnsi="Times New Roman"/>
          <w:sz w:val="24"/>
          <w:szCs w:val="24"/>
        </w:rPr>
        <w:t>з</w:t>
      </w:r>
      <w:r>
        <w:rPr>
          <w:rFonts w:ascii="Times New Roman" w:hAnsi="Times New Roman"/>
          <w:sz w:val="24"/>
          <w:szCs w:val="24"/>
        </w:rPr>
        <w:t>вития – дискретно-континуальной теории А.В. Степанова, В.И. Владимирова, Ш.Х. Ханн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нова),синергетического и фрактального подходов.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К изучению последовательного и взаимовлияющего характера развития деградации и деструкции, как процессов, протекающих в открытых системах, применили подходы кинет</w:t>
      </w:r>
      <w:r>
        <w:rPr>
          <w:rFonts w:ascii="Times New Roman" w:hAnsi="Times New Roman"/>
          <w:bCs/>
          <w:sz w:val="24"/>
          <w:szCs w:val="24"/>
        </w:rPr>
        <w:t>и</w:t>
      </w:r>
      <w:r>
        <w:rPr>
          <w:rFonts w:ascii="Times New Roman" w:hAnsi="Times New Roman"/>
          <w:bCs/>
          <w:sz w:val="24"/>
          <w:szCs w:val="24"/>
        </w:rPr>
        <w:t xml:space="preserve">ческой теории С.Н. Журкова, </w:t>
      </w:r>
      <w:r>
        <w:rPr>
          <w:rFonts w:ascii="Times New Roman" w:hAnsi="Times New Roman"/>
          <w:sz w:val="24"/>
          <w:szCs w:val="24"/>
        </w:rPr>
        <w:t>дискретно-континуальной теории</w:t>
      </w:r>
      <w:r>
        <w:rPr>
          <w:rFonts w:ascii="Times New Roman" w:hAnsi="Times New Roman"/>
          <w:bCs/>
          <w:sz w:val="24"/>
          <w:szCs w:val="24"/>
        </w:rPr>
        <w:t xml:space="preserve"> и синергетики. Принципы синергетики для исследуемых материалов и условий диктовали возможность перехода си</w:t>
      </w:r>
      <w:r>
        <w:rPr>
          <w:rFonts w:ascii="Times New Roman" w:hAnsi="Times New Roman"/>
          <w:bCs/>
          <w:sz w:val="24"/>
          <w:szCs w:val="24"/>
        </w:rPr>
        <w:t>с</w:t>
      </w:r>
      <w:r>
        <w:rPr>
          <w:rFonts w:ascii="Times New Roman" w:hAnsi="Times New Roman"/>
          <w:bCs/>
          <w:sz w:val="24"/>
          <w:szCs w:val="24"/>
        </w:rPr>
        <w:t>темы на определенном этапе внешнего воздействия из устойчивого неупорядоченного с</w:t>
      </w:r>
      <w:r>
        <w:rPr>
          <w:rFonts w:ascii="Times New Roman" w:hAnsi="Times New Roman"/>
          <w:bCs/>
          <w:sz w:val="24"/>
          <w:szCs w:val="24"/>
        </w:rPr>
        <w:t>о</w:t>
      </w:r>
      <w:r>
        <w:rPr>
          <w:rFonts w:ascii="Times New Roman" w:hAnsi="Times New Roman"/>
          <w:bCs/>
          <w:sz w:val="24"/>
          <w:szCs w:val="24"/>
        </w:rPr>
        <w:t xml:space="preserve">стояния в неустойчивое упорядоченное состояние. Такой синергетический подход позволил обосновать использование </w:t>
      </w:r>
      <w:r w:rsidRPr="00B61FA7">
        <w:rPr>
          <w:rFonts w:ascii="Times New Roman" w:hAnsi="Times New Roman"/>
          <w:bCs/>
          <w:i/>
          <w:sz w:val="24"/>
          <w:szCs w:val="24"/>
        </w:rPr>
        <w:t>комплексной</w:t>
      </w:r>
      <w:r>
        <w:rPr>
          <w:rFonts w:ascii="Times New Roman" w:hAnsi="Times New Roman"/>
          <w:bCs/>
          <w:i/>
          <w:sz w:val="24"/>
          <w:szCs w:val="24"/>
        </w:rPr>
        <w:t xml:space="preserve"> концепции совместного деградационно-деструктивного развития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B61FA7">
        <w:rPr>
          <w:rFonts w:ascii="Times New Roman" w:hAnsi="Times New Roman"/>
          <w:bCs/>
          <w:i/>
          <w:sz w:val="24"/>
          <w:szCs w:val="24"/>
        </w:rPr>
        <w:t>повреждаемости</w:t>
      </w:r>
      <w:r>
        <w:rPr>
          <w:rFonts w:ascii="Times New Roman" w:hAnsi="Times New Roman"/>
          <w:bCs/>
          <w:sz w:val="24"/>
          <w:szCs w:val="24"/>
        </w:rPr>
        <w:t xml:space="preserve">, которая включала следующие этапы: </w:t>
      </w:r>
      <w:r>
        <w:rPr>
          <w:rFonts w:ascii="Times New Roman" w:hAnsi="Times New Roman"/>
          <w:bCs/>
          <w:sz w:val="24"/>
          <w:szCs w:val="24"/>
          <w:lang w:val="en-US"/>
        </w:rPr>
        <w:t>I</w:t>
      </w:r>
      <w:r>
        <w:rPr>
          <w:rFonts w:ascii="Times New Roman" w:hAnsi="Times New Roman"/>
          <w:bCs/>
          <w:sz w:val="24"/>
          <w:szCs w:val="24"/>
        </w:rPr>
        <w:t>. Форм</w:t>
      </w:r>
      <w:r>
        <w:rPr>
          <w:rFonts w:ascii="Times New Roman" w:hAnsi="Times New Roman"/>
          <w:bCs/>
          <w:sz w:val="24"/>
          <w:szCs w:val="24"/>
        </w:rPr>
        <w:t>и</w:t>
      </w:r>
      <w:r>
        <w:rPr>
          <w:rFonts w:ascii="Times New Roman" w:hAnsi="Times New Roman"/>
          <w:bCs/>
          <w:sz w:val="24"/>
          <w:szCs w:val="24"/>
        </w:rPr>
        <w:t xml:space="preserve">рование устойчивого неупорядоченного состояния с определенным уровнем диссипативных (аккомодационных) возможностей. </w:t>
      </w:r>
      <w:r>
        <w:rPr>
          <w:rFonts w:ascii="Times New Roman" w:hAnsi="Times New Roman"/>
          <w:bCs/>
          <w:sz w:val="24"/>
          <w:szCs w:val="24"/>
          <w:lang w:val="en-US"/>
        </w:rPr>
        <w:t>II</w:t>
      </w:r>
      <w:r>
        <w:rPr>
          <w:rFonts w:ascii="Times New Roman" w:hAnsi="Times New Roman"/>
          <w:bCs/>
          <w:sz w:val="24"/>
          <w:szCs w:val="24"/>
        </w:rPr>
        <w:t xml:space="preserve">. Изменение управляющих параметров и формирование условий для активизации и развития зародыша новой структуры. </w:t>
      </w:r>
      <w:r>
        <w:rPr>
          <w:rFonts w:ascii="Times New Roman" w:hAnsi="Times New Roman"/>
          <w:bCs/>
          <w:sz w:val="24"/>
          <w:szCs w:val="24"/>
          <w:lang w:val="en-US"/>
        </w:rPr>
        <w:t>III</w:t>
      </w:r>
      <w:r>
        <w:rPr>
          <w:rFonts w:ascii="Times New Roman" w:hAnsi="Times New Roman"/>
          <w:bCs/>
          <w:sz w:val="24"/>
          <w:szCs w:val="24"/>
        </w:rPr>
        <w:t xml:space="preserve">. Активизация и развитие зародыша новой структуры. </w:t>
      </w:r>
      <w:r>
        <w:rPr>
          <w:rFonts w:ascii="Times New Roman" w:hAnsi="Times New Roman"/>
          <w:bCs/>
          <w:sz w:val="24"/>
          <w:szCs w:val="24"/>
          <w:lang w:val="en-US"/>
        </w:rPr>
        <w:t>IV</w:t>
      </w:r>
      <w:r>
        <w:rPr>
          <w:rFonts w:ascii="Times New Roman" w:hAnsi="Times New Roman"/>
          <w:bCs/>
          <w:sz w:val="24"/>
          <w:szCs w:val="24"/>
        </w:rPr>
        <w:t xml:space="preserve">. Достижение порогового состояния системы. </w:t>
      </w:r>
      <w:r>
        <w:rPr>
          <w:rFonts w:ascii="Times New Roman" w:hAnsi="Times New Roman"/>
          <w:bCs/>
          <w:sz w:val="24"/>
          <w:szCs w:val="24"/>
          <w:lang w:val="en-US"/>
        </w:rPr>
        <w:t>V</w:t>
      </w:r>
      <w:r>
        <w:rPr>
          <w:rFonts w:ascii="Times New Roman" w:hAnsi="Times New Roman"/>
          <w:bCs/>
          <w:sz w:val="24"/>
          <w:szCs w:val="24"/>
        </w:rPr>
        <w:t>. Скачкоо</w:t>
      </w:r>
      <w:r>
        <w:rPr>
          <w:rFonts w:ascii="Times New Roman" w:hAnsi="Times New Roman"/>
          <w:bCs/>
          <w:sz w:val="24"/>
          <w:szCs w:val="24"/>
        </w:rPr>
        <w:t>б</w:t>
      </w:r>
      <w:r>
        <w:rPr>
          <w:rFonts w:ascii="Times New Roman" w:hAnsi="Times New Roman"/>
          <w:bCs/>
          <w:sz w:val="24"/>
          <w:szCs w:val="24"/>
        </w:rPr>
        <w:t xml:space="preserve">разное формирование неустойчивого, хорошо упорядоченного состояния на макроуровне. Этапы </w:t>
      </w:r>
      <w:r>
        <w:rPr>
          <w:rFonts w:ascii="Times New Roman" w:hAnsi="Times New Roman"/>
          <w:bCs/>
          <w:sz w:val="24"/>
          <w:szCs w:val="24"/>
          <w:lang w:val="en-US"/>
        </w:rPr>
        <w:t>I</w:t>
      </w:r>
      <w:r>
        <w:rPr>
          <w:rFonts w:ascii="Times New Roman" w:hAnsi="Times New Roman"/>
          <w:bCs/>
          <w:sz w:val="24"/>
          <w:szCs w:val="24"/>
        </w:rPr>
        <w:t>-</w:t>
      </w:r>
      <w:r>
        <w:rPr>
          <w:rFonts w:ascii="Times New Roman" w:hAnsi="Times New Roman"/>
          <w:bCs/>
          <w:sz w:val="24"/>
          <w:szCs w:val="24"/>
          <w:lang w:val="en-US"/>
        </w:rPr>
        <w:t>III</w:t>
      </w:r>
      <w:r>
        <w:rPr>
          <w:rFonts w:ascii="Times New Roman" w:hAnsi="Times New Roman"/>
          <w:bCs/>
          <w:sz w:val="24"/>
          <w:szCs w:val="24"/>
        </w:rPr>
        <w:t xml:space="preserve"> отражают развитие деградации, этапы </w:t>
      </w:r>
      <w:r>
        <w:rPr>
          <w:rFonts w:ascii="Times New Roman" w:hAnsi="Times New Roman"/>
          <w:bCs/>
          <w:sz w:val="24"/>
          <w:szCs w:val="24"/>
          <w:lang w:val="en-US"/>
        </w:rPr>
        <w:t>III</w:t>
      </w:r>
      <w:r>
        <w:rPr>
          <w:rFonts w:ascii="Times New Roman" w:hAnsi="Times New Roman"/>
          <w:bCs/>
          <w:sz w:val="24"/>
          <w:szCs w:val="24"/>
        </w:rPr>
        <w:t>-</w:t>
      </w:r>
      <w:r>
        <w:rPr>
          <w:rFonts w:ascii="Times New Roman" w:hAnsi="Times New Roman"/>
          <w:bCs/>
          <w:sz w:val="24"/>
          <w:szCs w:val="24"/>
          <w:lang w:val="en-US"/>
        </w:rPr>
        <w:t>V</w:t>
      </w:r>
      <w:r>
        <w:rPr>
          <w:rFonts w:ascii="Times New Roman" w:hAnsi="Times New Roman"/>
          <w:bCs/>
          <w:sz w:val="24"/>
          <w:szCs w:val="24"/>
        </w:rPr>
        <w:t xml:space="preserve"> - развитие деструкции. Под «зарод</w:t>
      </w:r>
      <w:r>
        <w:rPr>
          <w:rFonts w:ascii="Times New Roman" w:hAnsi="Times New Roman"/>
          <w:bCs/>
          <w:sz w:val="24"/>
          <w:szCs w:val="24"/>
        </w:rPr>
        <w:t>ы</w:t>
      </w:r>
      <w:r>
        <w:rPr>
          <w:rFonts w:ascii="Times New Roman" w:hAnsi="Times New Roman"/>
          <w:bCs/>
          <w:sz w:val="24"/>
          <w:szCs w:val="24"/>
        </w:rPr>
        <w:t>шем новой структуры» понимали микротрещину активного (критического) размера, име</w:t>
      </w:r>
      <w:r>
        <w:rPr>
          <w:rFonts w:ascii="Times New Roman" w:hAnsi="Times New Roman"/>
          <w:bCs/>
          <w:sz w:val="24"/>
          <w:szCs w:val="24"/>
        </w:rPr>
        <w:t>ю</w:t>
      </w:r>
      <w:r>
        <w:rPr>
          <w:rFonts w:ascii="Times New Roman" w:hAnsi="Times New Roman"/>
          <w:bCs/>
          <w:sz w:val="24"/>
          <w:szCs w:val="24"/>
        </w:rPr>
        <w:t xml:space="preserve">щего возможности для дальнейшего роста.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Учитывая реализацию принципа текущего и локального равновесия (основной его признак - диссипация энергии различной интенсивности), за основу экспериментального раздела работы приняли комплекс методик, фиксирующих рассеяние механической энергии в виде релаксационных процессов – механическую спектроскопию и УЗ диагностику.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Сформулировали </w:t>
      </w:r>
      <w:r w:rsidRPr="00B61FA7">
        <w:rPr>
          <w:rFonts w:ascii="Times New Roman" w:hAnsi="Times New Roman"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>, решаемые для достижения</w:t>
      </w:r>
      <w:r w:rsidRPr="00B61FA7">
        <w:rPr>
          <w:rFonts w:ascii="Times New Roman" w:hAnsi="Times New Roman"/>
          <w:b/>
          <w:sz w:val="24"/>
          <w:szCs w:val="24"/>
        </w:rPr>
        <w:t xml:space="preserve"> </w:t>
      </w:r>
      <w:r w:rsidRPr="00B61FA7">
        <w:rPr>
          <w:rFonts w:ascii="Times New Roman" w:hAnsi="Times New Roman"/>
          <w:sz w:val="24"/>
          <w:szCs w:val="24"/>
        </w:rPr>
        <w:t>цели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диссертационной работы.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Во </w:t>
      </w:r>
      <w:r>
        <w:rPr>
          <w:rFonts w:ascii="Times New Roman" w:hAnsi="Times New Roman"/>
          <w:b/>
          <w:sz w:val="24"/>
          <w:szCs w:val="24"/>
        </w:rPr>
        <w:t>второй главе</w:t>
      </w:r>
      <w:r>
        <w:rPr>
          <w:rFonts w:ascii="Times New Roman" w:hAnsi="Times New Roman"/>
          <w:sz w:val="24"/>
          <w:szCs w:val="24"/>
        </w:rPr>
        <w:t xml:space="preserve"> приведено описание использованных в работе материалов, методов их исследования, оборудования.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Объектами исследований являлись промышленные малоуглеродистые стали с ферр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то-перлитной структурой: обыкновенного качества (сталь Ст 3), качественные (сталь 20), трубная сталь марки 08Г2С, модельный бинарный сплав </w:t>
      </w:r>
      <w:r>
        <w:rPr>
          <w:rFonts w:ascii="Times New Roman" w:hAnsi="Times New Roman"/>
          <w:i/>
          <w:sz w:val="24"/>
          <w:szCs w:val="24"/>
          <w:lang w:val="en-US"/>
        </w:rPr>
        <w:t>Fe</w:t>
      </w:r>
      <w:r>
        <w:rPr>
          <w:rFonts w:ascii="Times New Roman" w:hAnsi="Times New Roman"/>
          <w:sz w:val="24"/>
          <w:szCs w:val="24"/>
        </w:rPr>
        <w:t xml:space="preserve">-0,09 % </w:t>
      </w:r>
      <w:r>
        <w:rPr>
          <w:rFonts w:ascii="Times New Roman" w:hAnsi="Times New Roman"/>
          <w:i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; серый чугун типа СЧ15. В таблице </w:t>
      </w:r>
      <w:r w:rsidR="00A45954">
        <w:rPr>
          <w:rFonts w:ascii="Times New Roman" w:hAnsi="Times New Roman"/>
          <w:sz w:val="24"/>
          <w:szCs w:val="24"/>
        </w:rPr>
        <w:t xml:space="preserve">1 </w:t>
      </w:r>
      <w:r>
        <w:rPr>
          <w:rFonts w:ascii="Times New Roman" w:hAnsi="Times New Roman"/>
          <w:sz w:val="24"/>
          <w:szCs w:val="24"/>
        </w:rPr>
        <w:t xml:space="preserve">приведен химический состав исследуемых сплавов. </w:t>
      </w:r>
    </w:p>
    <w:p w:rsidR="00F855BB" w:rsidRDefault="00A45954" w:rsidP="00A45954">
      <w:pPr>
        <w:widowControl w:val="0"/>
        <w:ind w:firstLine="709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</w:rPr>
        <w:t>Таблица 1</w:t>
      </w:r>
    </w:p>
    <w:p w:rsidR="00F855BB" w:rsidRDefault="00F855BB" w:rsidP="00A45954">
      <w:pPr>
        <w:widowControl w:val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Химический состав исследуемых сплавов (масс. %)</w:t>
      </w:r>
    </w:p>
    <w:tbl>
      <w:tblPr>
        <w:tblpPr w:leftFromText="180" w:rightFromText="180" w:vertAnchor="page" w:horzAnchor="margin" w:tblpXSpec="center" w:tblpY="10606"/>
        <w:tblW w:w="93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593"/>
        <w:gridCol w:w="1067"/>
        <w:gridCol w:w="992"/>
        <w:gridCol w:w="962"/>
        <w:gridCol w:w="814"/>
        <w:gridCol w:w="880"/>
        <w:gridCol w:w="880"/>
        <w:gridCol w:w="642"/>
        <w:gridCol w:w="850"/>
        <w:gridCol w:w="709"/>
      </w:tblGrid>
      <w:tr w:rsidR="00EF699E" w:rsidTr="00EF699E">
        <w:tc>
          <w:tcPr>
            <w:tcW w:w="1593" w:type="dxa"/>
          </w:tcPr>
          <w:p w:rsidR="00EF699E" w:rsidRDefault="00EF699E" w:rsidP="00EF699E">
            <w:pPr>
              <w:widowControl w:val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Марка стали</w:t>
            </w:r>
          </w:p>
        </w:tc>
        <w:tc>
          <w:tcPr>
            <w:tcW w:w="1067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40" w:lineRule="atLeast"/>
              <w:jc w:val="center"/>
              <w:textAlignment w:val="baseline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i/>
                <w:iCs/>
                <w:color w:val="000000"/>
                <w:kern w:val="24"/>
                <w:sz w:val="20"/>
                <w:szCs w:val="20"/>
                <w:lang w:val="en-US"/>
              </w:rPr>
              <w:t>C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99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40" w:lineRule="atLeast"/>
              <w:jc w:val="center"/>
              <w:textAlignment w:val="baseline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i/>
                <w:iCs/>
                <w:color w:val="000000"/>
                <w:kern w:val="24"/>
                <w:sz w:val="20"/>
                <w:szCs w:val="20"/>
                <w:lang w:val="en-US"/>
              </w:rPr>
              <w:t>Si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96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40" w:lineRule="atLeast"/>
              <w:jc w:val="center"/>
              <w:textAlignment w:val="baseline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i/>
                <w:iCs/>
                <w:color w:val="000000"/>
                <w:kern w:val="24"/>
                <w:sz w:val="20"/>
                <w:szCs w:val="20"/>
                <w:lang w:val="en-US"/>
              </w:rPr>
              <w:t>Mn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814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40" w:lineRule="atLeast"/>
              <w:jc w:val="center"/>
              <w:textAlignment w:val="baseline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i/>
                <w:iCs/>
                <w:color w:val="000000"/>
                <w:kern w:val="24"/>
                <w:sz w:val="20"/>
                <w:szCs w:val="20"/>
                <w:lang w:val="en-US"/>
              </w:rPr>
              <w:t>Cr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40" w:lineRule="atLeast"/>
              <w:jc w:val="center"/>
              <w:textAlignment w:val="baseline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i/>
                <w:iCs/>
                <w:color w:val="000000"/>
                <w:kern w:val="24"/>
                <w:sz w:val="20"/>
                <w:szCs w:val="20"/>
                <w:lang w:val="en-US"/>
              </w:rPr>
              <w:t>S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40" w:lineRule="atLeast"/>
              <w:jc w:val="center"/>
              <w:textAlignment w:val="baseline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i/>
                <w:iCs/>
                <w:color w:val="000000"/>
                <w:kern w:val="24"/>
                <w:sz w:val="20"/>
                <w:szCs w:val="20"/>
                <w:lang w:val="en-US"/>
              </w:rPr>
              <w:t>P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64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40" w:lineRule="atLeast"/>
              <w:jc w:val="center"/>
              <w:textAlignment w:val="baseline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i/>
                <w:iCs/>
                <w:color w:val="000000"/>
                <w:kern w:val="24"/>
                <w:sz w:val="20"/>
                <w:szCs w:val="20"/>
                <w:lang w:val="en-US"/>
              </w:rPr>
              <w:t>Cu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85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40" w:lineRule="atLeast"/>
              <w:jc w:val="center"/>
              <w:textAlignment w:val="baseline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i/>
                <w:iCs/>
                <w:color w:val="000000"/>
                <w:kern w:val="24"/>
                <w:sz w:val="20"/>
                <w:szCs w:val="20"/>
                <w:lang w:val="en-US"/>
              </w:rPr>
              <w:t>Ni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40" w:lineRule="atLeast"/>
              <w:jc w:val="center"/>
              <w:textAlignment w:val="baseline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i/>
                <w:iCs/>
                <w:color w:val="000000"/>
                <w:kern w:val="24"/>
                <w:sz w:val="20"/>
                <w:szCs w:val="20"/>
                <w:lang w:val="en-US"/>
              </w:rPr>
              <w:t>As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</w:tr>
      <w:tr w:rsidR="00EF699E" w:rsidTr="00EF699E">
        <w:tc>
          <w:tcPr>
            <w:tcW w:w="1593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Сталь 20</w:t>
            </w:r>
          </w:p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ind w:left="-142" w:right="-108" w:firstLine="142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color w:val="000000"/>
                <w:kern w:val="24"/>
                <w:sz w:val="20"/>
                <w:szCs w:val="20"/>
              </w:rPr>
              <w:t xml:space="preserve">(ГОСТ 1050-74) </w:t>
            </w:r>
          </w:p>
        </w:tc>
        <w:tc>
          <w:tcPr>
            <w:tcW w:w="1067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ind w:left="-108" w:right="-108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0,17-0,24</w:t>
            </w:r>
          </w:p>
        </w:tc>
        <w:tc>
          <w:tcPr>
            <w:tcW w:w="99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ind w:hanging="108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0,17-0,37</w:t>
            </w:r>
          </w:p>
        </w:tc>
        <w:tc>
          <w:tcPr>
            <w:tcW w:w="96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0,12-0,3</w:t>
            </w:r>
          </w:p>
        </w:tc>
        <w:tc>
          <w:tcPr>
            <w:tcW w:w="814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0,25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0,04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ind w:firstLine="29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0,035</w:t>
            </w:r>
          </w:p>
        </w:tc>
        <w:tc>
          <w:tcPr>
            <w:tcW w:w="64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ind w:firstLine="72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0,25</w:t>
            </w:r>
          </w:p>
        </w:tc>
        <w:tc>
          <w:tcPr>
            <w:tcW w:w="85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ind w:firstLine="58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0,25</w:t>
            </w:r>
          </w:p>
        </w:tc>
        <w:tc>
          <w:tcPr>
            <w:tcW w:w="709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0,08</w:t>
            </w:r>
          </w:p>
        </w:tc>
      </w:tr>
      <w:tr w:rsidR="00EF699E" w:rsidTr="00EF699E">
        <w:tc>
          <w:tcPr>
            <w:tcW w:w="1593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08Г2С</w:t>
            </w:r>
          </w:p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ind w:left="-142" w:right="-108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color w:val="000000"/>
                <w:kern w:val="24"/>
                <w:sz w:val="20"/>
                <w:szCs w:val="20"/>
              </w:rPr>
              <w:t xml:space="preserve"> (ГОСТ 2246-70)</w:t>
            </w:r>
          </w:p>
        </w:tc>
        <w:tc>
          <w:tcPr>
            <w:tcW w:w="1067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ind w:firstLine="72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  <w:lang w:val="en-US"/>
              </w:rPr>
              <w:t>0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,05-0,11</w:t>
            </w:r>
          </w:p>
        </w:tc>
        <w:tc>
          <w:tcPr>
            <w:tcW w:w="99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0,7-0,95</w:t>
            </w:r>
          </w:p>
        </w:tc>
        <w:tc>
          <w:tcPr>
            <w:tcW w:w="96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1,8-2,1</w:t>
            </w:r>
          </w:p>
        </w:tc>
        <w:tc>
          <w:tcPr>
            <w:tcW w:w="814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ind w:firstLine="29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ind w:firstLine="29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&lt;0,025</w:t>
            </w:r>
            <w:r>
              <w:rPr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&lt;0,03</w:t>
            </w:r>
            <w:r>
              <w:rPr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64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ind w:firstLine="58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85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709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360" w:lineRule="auto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-</w:t>
            </w:r>
          </w:p>
        </w:tc>
      </w:tr>
      <w:tr w:rsidR="00EF699E" w:rsidTr="00EF699E">
        <w:tc>
          <w:tcPr>
            <w:tcW w:w="1593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Сталь Ст3</w:t>
            </w:r>
          </w:p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color w:val="000000"/>
                <w:kern w:val="24"/>
                <w:sz w:val="20"/>
                <w:szCs w:val="20"/>
              </w:rPr>
              <w:t>(ГОСТ 380-71)</w:t>
            </w:r>
          </w:p>
        </w:tc>
        <w:tc>
          <w:tcPr>
            <w:tcW w:w="1067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ind w:firstLine="72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  <w:lang w:val="en-US"/>
              </w:rPr>
              <w:t>0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,14-0,22</w:t>
            </w:r>
          </w:p>
        </w:tc>
        <w:tc>
          <w:tcPr>
            <w:tcW w:w="99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0,12-0,3</w:t>
            </w:r>
          </w:p>
        </w:tc>
        <w:tc>
          <w:tcPr>
            <w:tcW w:w="96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0,4-0,65</w:t>
            </w:r>
          </w:p>
        </w:tc>
        <w:tc>
          <w:tcPr>
            <w:tcW w:w="814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ind w:firstLine="29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&lt;0,30</w:t>
            </w:r>
            <w:r>
              <w:rPr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ind w:firstLine="29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&lt;0,005</w:t>
            </w:r>
            <w:r>
              <w:rPr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&lt;0,004</w:t>
            </w:r>
            <w:r>
              <w:rPr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64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ind w:hanging="108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&lt;0,30</w:t>
            </w:r>
            <w:r>
              <w:rPr>
                <w:color w:val="000000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85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&lt;0,008</w:t>
            </w:r>
          </w:p>
        </w:tc>
        <w:tc>
          <w:tcPr>
            <w:tcW w:w="709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&lt;0,08</w:t>
            </w:r>
          </w:p>
        </w:tc>
      </w:tr>
      <w:tr w:rsidR="00EF699E" w:rsidTr="00EF699E">
        <w:tc>
          <w:tcPr>
            <w:tcW w:w="1593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52" w:lineRule="atLeast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i/>
                <w:color w:val="000000"/>
                <w:kern w:val="24"/>
                <w:sz w:val="20"/>
                <w:szCs w:val="20"/>
                <w:lang w:val="en-US"/>
              </w:rPr>
              <w:t>Fe</w:t>
            </w:r>
            <w:r>
              <w:rPr>
                <w:b/>
                <w:bCs/>
                <w:color w:val="000000"/>
                <w:kern w:val="24"/>
                <w:sz w:val="20"/>
                <w:szCs w:val="20"/>
                <w:lang w:val="en-US"/>
              </w:rPr>
              <w:t>-0,09</w:t>
            </w: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 % </w:t>
            </w:r>
            <w:r>
              <w:rPr>
                <w:b/>
                <w:bCs/>
                <w:i/>
                <w:color w:val="000000"/>
                <w:kern w:val="24"/>
                <w:sz w:val="20"/>
                <w:szCs w:val="20"/>
              </w:rPr>
              <w:t>С</w:t>
            </w:r>
          </w:p>
        </w:tc>
        <w:tc>
          <w:tcPr>
            <w:tcW w:w="1067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52" w:lineRule="atLeast"/>
              <w:ind w:firstLine="72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0,09</w:t>
            </w:r>
          </w:p>
        </w:tc>
        <w:tc>
          <w:tcPr>
            <w:tcW w:w="99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52" w:lineRule="atLeast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52" w:lineRule="atLeast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814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52" w:lineRule="atLeast"/>
              <w:ind w:firstLine="29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52" w:lineRule="atLeast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&lt;0,0012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52" w:lineRule="atLeast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&lt;0,0005</w:t>
            </w:r>
          </w:p>
        </w:tc>
        <w:tc>
          <w:tcPr>
            <w:tcW w:w="642" w:type="dxa"/>
          </w:tcPr>
          <w:p w:rsidR="00EF699E" w:rsidRDefault="00EF699E" w:rsidP="00EF699E">
            <w:pPr>
              <w:widowControl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</w:tcPr>
          <w:p w:rsidR="00EF699E" w:rsidRDefault="00EF699E" w:rsidP="00EF699E">
            <w:pPr>
              <w:widowControl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</w:tcPr>
          <w:p w:rsidR="00EF699E" w:rsidRDefault="00EF699E" w:rsidP="00EF699E">
            <w:pPr>
              <w:widowControl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EF699E" w:rsidTr="00EF699E">
        <w:tc>
          <w:tcPr>
            <w:tcW w:w="1593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ind w:left="-142" w:right="-108" w:firstLine="142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СЧ 15</w:t>
            </w:r>
          </w:p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ind w:left="-142" w:right="-108" w:firstLine="142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color w:val="000000"/>
                <w:kern w:val="24"/>
                <w:sz w:val="20"/>
                <w:szCs w:val="20"/>
              </w:rPr>
              <w:t>(ГОСТ 1412-85)</w:t>
            </w:r>
          </w:p>
        </w:tc>
        <w:tc>
          <w:tcPr>
            <w:tcW w:w="1067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52" w:lineRule="atLeast"/>
              <w:ind w:firstLine="72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3,5-3,7</w:t>
            </w:r>
          </w:p>
        </w:tc>
        <w:tc>
          <w:tcPr>
            <w:tcW w:w="99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52" w:lineRule="atLeast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2,0-2,4</w:t>
            </w:r>
          </w:p>
        </w:tc>
        <w:tc>
          <w:tcPr>
            <w:tcW w:w="962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0,5-0,8</w:t>
            </w:r>
          </w:p>
        </w:tc>
        <w:tc>
          <w:tcPr>
            <w:tcW w:w="814" w:type="dxa"/>
          </w:tcPr>
          <w:p w:rsidR="00EF699E" w:rsidRDefault="00EF699E" w:rsidP="00EF699E">
            <w:pPr>
              <w:widowControl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52" w:lineRule="atLeast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&lt;0,15</w:t>
            </w:r>
          </w:p>
        </w:tc>
        <w:tc>
          <w:tcPr>
            <w:tcW w:w="880" w:type="dxa"/>
          </w:tcPr>
          <w:p w:rsidR="00EF699E" w:rsidRDefault="00EF699E" w:rsidP="00EF699E">
            <w:pPr>
              <w:pStyle w:val="aa"/>
              <w:widowControl w:val="0"/>
              <w:spacing w:before="0" w:beforeAutospacing="0" w:after="0" w:afterAutospacing="0" w:line="252" w:lineRule="atLeast"/>
              <w:jc w:val="center"/>
              <w:textAlignment w:val="baseline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kern w:val="24"/>
                <w:sz w:val="20"/>
                <w:szCs w:val="20"/>
              </w:rPr>
              <w:t>&lt;0,2</w:t>
            </w:r>
          </w:p>
        </w:tc>
        <w:tc>
          <w:tcPr>
            <w:tcW w:w="642" w:type="dxa"/>
          </w:tcPr>
          <w:p w:rsidR="00EF699E" w:rsidRDefault="00EF699E" w:rsidP="00EF699E">
            <w:pPr>
              <w:widowControl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</w:tcPr>
          <w:p w:rsidR="00EF699E" w:rsidRDefault="00EF699E" w:rsidP="00EF699E">
            <w:pPr>
              <w:widowControl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</w:tcPr>
          <w:p w:rsidR="00EF699E" w:rsidRDefault="00EF699E" w:rsidP="00EF699E">
            <w:pPr>
              <w:widowControl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</w:tbl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выборе материалов учитывали: 1) широту использования в промышленности; 2) отсутствие сложного химического состава и близкое содержание углерода; 3) наличие ист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рии исследований повреждаемости (для сравнительного анализа); 4) промышленную эк</w:t>
      </w: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плуатацию в обычных условиях и контакте с водородсодержащими средами; 5) возможность моделирования повреждаемости сталей сравнением с сильно гетерогенным материалом (СЧ15 - серый чугун с пластинчатыми графитными включениями).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После предварительной термической обработки (отжиг 1000 </w:t>
      </w:r>
      <w:r>
        <w:rPr>
          <w:rFonts w:ascii="Times New Roman" w:hAnsi="Times New Roman"/>
          <w:sz w:val="24"/>
          <w:szCs w:val="24"/>
          <w:vertAlign w:val="superscript"/>
        </w:rPr>
        <w:t>0</w:t>
      </w:r>
      <w:r>
        <w:rPr>
          <w:rFonts w:ascii="Times New Roman" w:hAnsi="Times New Roman"/>
          <w:sz w:val="24"/>
          <w:szCs w:val="24"/>
        </w:rPr>
        <w:t xml:space="preserve">С , 1 ч в вакууме  </w:t>
      </w:r>
      <w:r>
        <w:rPr>
          <w:rFonts w:ascii="Times New Roman" w:hAnsi="Times New Roman"/>
          <w:i/>
          <w:sz w:val="24"/>
          <w:szCs w:val="24"/>
        </w:rPr>
        <w:t>Р</w:t>
      </w:r>
      <w:r>
        <w:rPr>
          <w:rFonts w:ascii="Times New Roman" w:hAnsi="Times New Roman"/>
          <w:sz w:val="24"/>
          <w:szCs w:val="24"/>
        </w:rPr>
        <w:t>=10</w:t>
      </w:r>
      <w:r>
        <w:rPr>
          <w:rFonts w:ascii="Times New Roman" w:hAnsi="Times New Roman"/>
          <w:sz w:val="24"/>
          <w:szCs w:val="24"/>
          <w:vertAlign w:val="superscript"/>
        </w:rPr>
        <w:t>-5</w:t>
      </w:r>
      <w:r>
        <w:rPr>
          <w:rFonts w:ascii="Times New Roman" w:hAnsi="Times New Roman"/>
          <w:sz w:val="24"/>
          <w:szCs w:val="24"/>
        </w:rPr>
        <w:t xml:space="preserve"> МПа) образцы сталей и сплавов подвергали деформированию одноосным растяжением и о</w:t>
      </w:r>
      <w:r>
        <w:rPr>
          <w:rFonts w:ascii="Times New Roman" w:hAnsi="Times New Roman"/>
          <w:sz w:val="24"/>
          <w:szCs w:val="24"/>
        </w:rPr>
        <w:t>б</w:t>
      </w:r>
      <w:r>
        <w:rPr>
          <w:rFonts w:ascii="Times New Roman" w:hAnsi="Times New Roman"/>
          <w:sz w:val="24"/>
          <w:szCs w:val="24"/>
        </w:rPr>
        <w:t>жатию протяжкой через фильеры до степеней деформации 0…20 %, а также насыщению в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lastRenderedPageBreak/>
        <w:t xml:space="preserve">дородом (электролитическое наводороживание при плотности тока  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j</w:t>
      </w:r>
      <w:r>
        <w:rPr>
          <w:rFonts w:ascii="Times New Roman" w:hAnsi="Times New Roman"/>
          <w:sz w:val="24"/>
          <w:szCs w:val="24"/>
        </w:rPr>
        <w:t xml:space="preserve"> = 60…150 А/м</w:t>
      </w:r>
      <w:r>
        <w:rPr>
          <w:rFonts w:ascii="Times New Roman" w:hAnsi="Times New Roman"/>
          <w:sz w:val="24"/>
          <w:szCs w:val="24"/>
          <w:vertAlign w:val="superscript"/>
        </w:rPr>
        <w:t>2</w:t>
      </w:r>
      <w:r>
        <w:rPr>
          <w:rFonts w:ascii="Times New Roman" w:hAnsi="Times New Roman"/>
          <w:sz w:val="24"/>
          <w:szCs w:val="24"/>
        </w:rPr>
        <w:t>, пасс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ватор – тиомочевина 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NH</w:t>
      </w:r>
      <w:r>
        <w:rPr>
          <w:rFonts w:ascii="Times New Roman" w:hAnsi="Times New Roman"/>
          <w:i/>
          <w:iCs/>
          <w:sz w:val="24"/>
          <w:szCs w:val="24"/>
          <w:vertAlign w:val="subscript"/>
        </w:rPr>
        <w:t>2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CNSH</w:t>
      </w:r>
      <w:r>
        <w:rPr>
          <w:rFonts w:ascii="Times New Roman" w:hAnsi="Times New Roman"/>
          <w:i/>
          <w:iCs/>
          <w:sz w:val="24"/>
          <w:szCs w:val="24"/>
          <w:vertAlign w:val="subscript"/>
        </w:rPr>
        <w:t>2</w:t>
      </w:r>
      <w:r>
        <w:rPr>
          <w:rFonts w:ascii="Times New Roman" w:hAnsi="Times New Roman"/>
          <w:sz w:val="24"/>
          <w:szCs w:val="24"/>
          <w:vertAlign w:val="subscript"/>
        </w:rPr>
        <w:t xml:space="preserve"> </w:t>
      </w:r>
      <w:r>
        <w:rPr>
          <w:rFonts w:ascii="Times New Roman" w:hAnsi="Times New Roman"/>
          <w:sz w:val="24"/>
          <w:szCs w:val="24"/>
        </w:rPr>
        <w:t>, длительностью</w:t>
      </w:r>
      <w:r>
        <w:rPr>
          <w:rFonts w:ascii="Times New Roman" w:hAnsi="Times New Roman"/>
          <w:i/>
          <w:iCs/>
          <w:sz w:val="24"/>
          <w:szCs w:val="24"/>
        </w:rPr>
        <w:t xml:space="preserve"> τ</w:t>
      </w:r>
      <w:r>
        <w:rPr>
          <w:rFonts w:ascii="Times New Roman" w:hAnsi="Times New Roman"/>
          <w:sz w:val="24"/>
          <w:szCs w:val="24"/>
        </w:rPr>
        <w:t xml:space="preserve"> = 1…30 часов.) </w:t>
      </w:r>
    </w:p>
    <w:p w:rsidR="00F855BB" w:rsidRDefault="00F855BB" w:rsidP="00F855BB">
      <w:pPr>
        <w:widowControl w:val="0"/>
        <w:tabs>
          <w:tab w:val="left" w:pos="709"/>
          <w:tab w:val="left" w:pos="851"/>
        </w:tabs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t xml:space="preserve">           Статическое деформирование (одноосное растяжение) проводили на универсальной испытательной машине </w:t>
      </w:r>
      <w:r>
        <w:rPr>
          <w:rFonts w:ascii="Times New Roman" w:hAnsi="Times New Roman"/>
          <w:sz w:val="24"/>
          <w:szCs w:val="24"/>
          <w:lang w:val="en-US"/>
        </w:rPr>
        <w:t>Instron</w:t>
      </w:r>
      <w:r>
        <w:rPr>
          <w:rFonts w:ascii="Times New Roman" w:hAnsi="Times New Roman"/>
          <w:sz w:val="24"/>
          <w:szCs w:val="24"/>
        </w:rPr>
        <w:t xml:space="preserve"> 5882. Нагружение вели при </w:t>
      </w:r>
      <w:r>
        <w:rPr>
          <w:rFonts w:ascii="Times New Roman" w:hAnsi="Times New Roman"/>
          <w:i/>
          <w:sz w:val="24"/>
          <w:szCs w:val="24"/>
          <w:lang w:val="en-US"/>
        </w:rPr>
        <w:t>t</w:t>
      </w:r>
      <w:r>
        <w:rPr>
          <w:rFonts w:ascii="Times New Roman" w:hAnsi="Times New Roman"/>
          <w:sz w:val="24"/>
          <w:szCs w:val="24"/>
        </w:rPr>
        <w:t xml:space="preserve">=20 </w:t>
      </w:r>
      <w:r>
        <w:rPr>
          <w:rFonts w:ascii="Times New Roman" w:hAnsi="Times New Roman"/>
          <w:sz w:val="24"/>
          <w:szCs w:val="24"/>
          <w:vertAlign w:val="superscript"/>
        </w:rPr>
        <w:t>0</w:t>
      </w:r>
      <w:r>
        <w:rPr>
          <w:rFonts w:ascii="Times New Roman" w:hAnsi="Times New Roman"/>
          <w:sz w:val="24"/>
          <w:szCs w:val="24"/>
        </w:rPr>
        <w:t xml:space="preserve">С со скоростью </w:t>
      </w:r>
      <w:r>
        <w:rPr>
          <w:rFonts w:ascii="Times New Roman" w:hAnsi="Times New Roman"/>
          <w:sz w:val="24"/>
          <w:szCs w:val="24"/>
          <w:lang w:val="en-US"/>
        </w:rPr>
        <w:t>υ</w:t>
      </w:r>
      <w:r>
        <w:rPr>
          <w:rFonts w:ascii="Times New Roman" w:hAnsi="Times New Roman"/>
          <w:sz w:val="24"/>
          <w:szCs w:val="24"/>
        </w:rPr>
        <w:t>=5 мм/мин. с записью диаграмм деформации (ГОСТ 1497-84). При повторном нагружении предвар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тельно деформированных образцов определяли характеристики прочности, пластичности, упругости, коэффициенты добротности и деструкции (методика Л.М. Рыбаковой). Для рег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страции в ходе механических испытаний (сжатие) сигналов акустической эмиссии (АЭ) пр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меняли многоканальные приборы ЭЯ-1 и ЭЯ-2 производства Тольяттинского государстве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 xml:space="preserve">ного университета, а также акустико-эмиссионную систему </w:t>
      </w:r>
      <w:r>
        <w:rPr>
          <w:rFonts w:ascii="Times New Roman" w:hAnsi="Times New Roman"/>
          <w:i/>
          <w:sz w:val="24"/>
          <w:szCs w:val="24"/>
          <w:lang w:val="en-US"/>
        </w:rPr>
        <w:t>Vallen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  <w:lang w:val="en-US"/>
        </w:rPr>
        <w:t>AMSY</w:t>
      </w:r>
      <w:r>
        <w:rPr>
          <w:rFonts w:ascii="Times New Roman" w:hAnsi="Times New Roman"/>
          <w:sz w:val="24"/>
          <w:szCs w:val="24"/>
        </w:rPr>
        <w:t>-5 (Германия).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Металлографические исследования проводили на оптическом микроскопе </w:t>
      </w:r>
      <w:r>
        <w:rPr>
          <w:rFonts w:ascii="Times New Roman" w:hAnsi="Times New Roman"/>
          <w:i/>
          <w:sz w:val="24"/>
          <w:szCs w:val="24"/>
          <w:lang w:val="en-US"/>
        </w:rPr>
        <w:t>Zeiss</w:t>
      </w:r>
      <w:r>
        <w:rPr>
          <w:rFonts w:ascii="Times New Roman" w:hAnsi="Times New Roman"/>
          <w:i/>
          <w:sz w:val="24"/>
          <w:szCs w:val="24"/>
        </w:rPr>
        <w:t xml:space="preserve"> «</w:t>
      </w:r>
      <w:r>
        <w:rPr>
          <w:rFonts w:ascii="Times New Roman" w:hAnsi="Times New Roman"/>
          <w:i/>
          <w:sz w:val="24"/>
          <w:szCs w:val="24"/>
          <w:lang w:val="en-US"/>
        </w:rPr>
        <w:t>Axio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  <w:lang w:val="en-US"/>
        </w:rPr>
        <w:t>Observer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  <w:lang w:val="en-US"/>
        </w:rPr>
        <w:t>D</w:t>
      </w:r>
      <w:r>
        <w:rPr>
          <w:rFonts w:ascii="Times New Roman" w:hAnsi="Times New Roman"/>
          <w:i/>
          <w:sz w:val="24"/>
          <w:szCs w:val="24"/>
        </w:rPr>
        <w:t>1</w:t>
      </w:r>
      <w:r>
        <w:rPr>
          <w:rFonts w:ascii="Times New Roman" w:hAnsi="Times New Roman"/>
          <w:i/>
          <w:sz w:val="24"/>
          <w:szCs w:val="24"/>
          <w:lang w:val="en-US"/>
        </w:rPr>
        <w:t>m</w:t>
      </w:r>
      <w:r>
        <w:rPr>
          <w:rFonts w:ascii="Times New Roman" w:hAnsi="Times New Roman"/>
          <w:sz w:val="24"/>
          <w:szCs w:val="24"/>
        </w:rPr>
        <w:t>» (</w:t>
      </w:r>
      <w:r>
        <w:rPr>
          <w:rFonts w:ascii="Times New Roman" w:hAnsi="Times New Roman"/>
          <w:sz w:val="24"/>
          <w:szCs w:val="24"/>
          <w:lang w:val="en-US"/>
        </w:rPr>
        <w:t>x</w:t>
      </w:r>
      <w:r>
        <w:rPr>
          <w:rFonts w:ascii="Times New Roman" w:hAnsi="Times New Roman"/>
          <w:sz w:val="24"/>
          <w:szCs w:val="24"/>
        </w:rPr>
        <w:t xml:space="preserve">50…2500) и инвертированном микроскопе </w:t>
      </w:r>
      <w:r>
        <w:rPr>
          <w:rFonts w:ascii="Times New Roman" w:hAnsi="Times New Roman"/>
          <w:i/>
          <w:sz w:val="24"/>
          <w:szCs w:val="24"/>
        </w:rPr>
        <w:t>Olympus GX</w:t>
      </w:r>
      <w:r>
        <w:rPr>
          <w:rFonts w:ascii="Times New Roman" w:hAnsi="Times New Roman"/>
          <w:sz w:val="24"/>
          <w:szCs w:val="24"/>
        </w:rPr>
        <w:t>71 (х100…х500). Измерения диссипации механической энергии вели в трех диапазонах: инфразвуковом, зв</w:t>
      </w:r>
      <w:r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 xml:space="preserve">ковом и ультразвуковом. В инфразвуковом и звуковом диапазонах использовали методики механической спектроскопии. Измеряли параметры температурных (ТЗВТ) и амплитудных (АЗВТ) зависимостей внутреннего трения. В инфразвуковом диапазоне на релаксаторе РДУ-ТПИ при частоте крутильных колебаний </w:t>
      </w:r>
      <w:r>
        <w:rPr>
          <w:rFonts w:ascii="Times New Roman" w:hAnsi="Times New Roman"/>
          <w:i/>
          <w:iCs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~ 1,5…2 с</w:t>
      </w:r>
      <w:r>
        <w:rPr>
          <w:rFonts w:ascii="Times New Roman" w:hAnsi="Times New Roman"/>
          <w:sz w:val="24"/>
          <w:szCs w:val="24"/>
          <w:vertAlign w:val="superscript"/>
        </w:rPr>
        <w:t>-1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t</w:t>
      </w:r>
      <w:r>
        <w:rPr>
          <w:rFonts w:ascii="Times New Roman" w:hAnsi="Times New Roman"/>
          <w:sz w:val="24"/>
          <w:szCs w:val="24"/>
        </w:rPr>
        <w:t xml:space="preserve"> = -180…450 </w:t>
      </w:r>
      <w:r>
        <w:rPr>
          <w:rFonts w:ascii="Times New Roman" w:hAnsi="Times New Roman"/>
          <w:i/>
          <w:iCs/>
          <w:sz w:val="24"/>
          <w:szCs w:val="24"/>
          <w:vertAlign w:val="superscript"/>
        </w:rPr>
        <w:t>0</w:t>
      </w:r>
      <w:r>
        <w:rPr>
          <w:rFonts w:ascii="Times New Roman" w:hAnsi="Times New Roman"/>
          <w:i/>
          <w:iCs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. В звуковом - на р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зонансных установках РУВТМУ–ТПИ и ИДСМ-1М при частоте </w:t>
      </w:r>
      <w:r>
        <w:rPr>
          <w:rFonts w:ascii="Times New Roman" w:hAnsi="Times New Roman"/>
          <w:i/>
          <w:iCs/>
          <w:sz w:val="24"/>
          <w:szCs w:val="24"/>
        </w:rPr>
        <w:t xml:space="preserve">f </w:t>
      </w:r>
      <w:r>
        <w:rPr>
          <w:rFonts w:ascii="Times New Roman" w:hAnsi="Times New Roman"/>
          <w:sz w:val="24"/>
          <w:szCs w:val="24"/>
        </w:rPr>
        <w:t>~ 1</w:t>
      </w:r>
      <w:r>
        <w:rPr>
          <w:rFonts w:ascii="Times New Roman" w:hAnsi="Times New Roman"/>
          <w:sz w:val="24"/>
          <w:szCs w:val="24"/>
          <w:vertAlign w:val="superscript"/>
        </w:rPr>
        <w:t>.</w:t>
      </w:r>
      <w:r>
        <w:rPr>
          <w:rFonts w:ascii="Times New Roman" w:hAnsi="Times New Roman"/>
          <w:sz w:val="24"/>
          <w:szCs w:val="24"/>
        </w:rPr>
        <w:t>10</w:t>
      </w:r>
      <w:r>
        <w:rPr>
          <w:rFonts w:ascii="Times New Roman" w:hAnsi="Times New Roman"/>
          <w:sz w:val="24"/>
          <w:szCs w:val="24"/>
          <w:vertAlign w:val="superscript"/>
        </w:rPr>
        <w:t>3</w:t>
      </w:r>
      <w:r>
        <w:rPr>
          <w:rFonts w:ascii="Times New Roman" w:hAnsi="Times New Roman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  <w:vertAlign w:val="superscript"/>
        </w:rPr>
        <w:t>-1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t</w:t>
      </w:r>
      <w:r>
        <w:rPr>
          <w:rFonts w:ascii="Times New Roman" w:hAnsi="Times New Roman"/>
          <w:sz w:val="24"/>
          <w:szCs w:val="24"/>
        </w:rPr>
        <w:t xml:space="preserve"> = -180…450 </w:t>
      </w:r>
      <w:r>
        <w:rPr>
          <w:rFonts w:ascii="Times New Roman" w:hAnsi="Times New Roman"/>
          <w:iCs/>
          <w:sz w:val="24"/>
          <w:szCs w:val="24"/>
          <w:vertAlign w:val="superscript"/>
        </w:rPr>
        <w:t>0</w:t>
      </w:r>
      <w:r>
        <w:rPr>
          <w:rFonts w:ascii="Times New Roman" w:hAnsi="Times New Roman"/>
          <w:i/>
          <w:iCs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), скорости нагрева-охлаждения  </w:t>
      </w:r>
      <w:r>
        <w:rPr>
          <w:rFonts w:ascii="Times New Roman" w:hAnsi="Times New Roman"/>
          <w:sz w:val="24"/>
          <w:szCs w:val="24"/>
          <w:lang w:val="el-GR"/>
        </w:rPr>
        <w:t>υ</w:t>
      </w:r>
      <w:r>
        <w:rPr>
          <w:rFonts w:ascii="Times New Roman" w:hAnsi="Times New Roman"/>
          <w:sz w:val="24"/>
          <w:szCs w:val="24"/>
        </w:rPr>
        <w:t xml:space="preserve"> ~ 2…2,5 град/мин. Ультразвуковую диагностику вели на  установке ЭЯ-1 (калиброванным сигналом источника Су-Нильсена).  Рентгеноструктурные исследования проводили на рентгеновском дифрактометре </w:t>
      </w:r>
      <w:r>
        <w:rPr>
          <w:rFonts w:ascii="Times New Roman" w:hAnsi="Times New Roman"/>
          <w:i/>
          <w:sz w:val="24"/>
          <w:szCs w:val="24"/>
        </w:rPr>
        <w:t>Rigaku Ultima</w:t>
      </w:r>
      <w:r>
        <w:rPr>
          <w:rFonts w:ascii="Times New Roman" w:hAnsi="Times New Roman"/>
          <w:sz w:val="24"/>
          <w:szCs w:val="24"/>
        </w:rPr>
        <w:t xml:space="preserve"> IV, </w:t>
      </w:r>
      <w:r>
        <w:rPr>
          <w:rFonts w:ascii="Times New Roman" w:hAnsi="Times New Roman"/>
          <w:i/>
          <w:sz w:val="24"/>
          <w:szCs w:val="24"/>
          <w:lang w:val="en-US"/>
        </w:rPr>
        <w:t>CuK</w:t>
      </w:r>
      <w:r>
        <w:rPr>
          <w:rFonts w:ascii="Times New Roman" w:hAnsi="Times New Roman"/>
          <w:sz w:val="28"/>
          <w:szCs w:val="28"/>
          <w:vertAlign w:val="subscript"/>
          <w:lang w:val="en-US"/>
        </w:rPr>
        <w:t>α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i/>
          <w:sz w:val="24"/>
          <w:szCs w:val="24"/>
        </w:rPr>
        <w:t>К</w:t>
      </w:r>
      <w:r>
        <w:rPr>
          <w:rFonts w:ascii="Times New Roman" w:hAnsi="Times New Roman"/>
          <w:sz w:val="28"/>
          <w:szCs w:val="28"/>
          <w:vertAlign w:val="subscript"/>
        </w:rPr>
        <w:t>β</w:t>
      </w:r>
      <w:r>
        <w:rPr>
          <w:rFonts w:ascii="Times New Roman" w:hAnsi="Times New Roman"/>
          <w:sz w:val="24"/>
          <w:szCs w:val="24"/>
        </w:rPr>
        <w:t xml:space="preserve"> фильтр – </w:t>
      </w:r>
      <w:r>
        <w:rPr>
          <w:rFonts w:ascii="Times New Roman" w:hAnsi="Times New Roman"/>
          <w:i/>
          <w:sz w:val="24"/>
          <w:szCs w:val="24"/>
          <w:lang w:val="en-US"/>
        </w:rPr>
        <w:t>Ni</w:t>
      </w:r>
      <w:r>
        <w:rPr>
          <w:rFonts w:ascii="Times New Roman" w:hAnsi="Times New Roman"/>
          <w:sz w:val="24"/>
          <w:szCs w:val="24"/>
        </w:rPr>
        <w:t xml:space="preserve"> с однокоординатным полупроводниковым детектором </w:t>
      </w:r>
      <w:r>
        <w:rPr>
          <w:rFonts w:ascii="Times New Roman" w:hAnsi="Times New Roman"/>
          <w:i/>
          <w:sz w:val="24"/>
          <w:szCs w:val="24"/>
          <w:lang w:val="en-US"/>
        </w:rPr>
        <w:t>D</w:t>
      </w:r>
      <w:r>
        <w:rPr>
          <w:rFonts w:ascii="Times New Roman" w:hAnsi="Times New Roman"/>
          <w:i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  <w:lang w:val="en-US"/>
        </w:rPr>
        <w:t>TeX</w:t>
      </w:r>
      <w:r>
        <w:rPr>
          <w:rFonts w:ascii="Times New Roman" w:hAnsi="Times New Roman"/>
          <w:sz w:val="24"/>
          <w:szCs w:val="24"/>
        </w:rPr>
        <w:t xml:space="preserve">; напряжение 40кВ, ток 40 мА, диапазон  35 -140 град 2θ, шаг 0,01 град. </w:t>
      </w:r>
      <w:r>
        <w:rPr>
          <w:rFonts w:ascii="Times New Roman" w:hAnsi="Times New Roman"/>
          <w:sz w:val="24"/>
          <w:szCs w:val="24"/>
          <w:lang w:val="el-GR"/>
        </w:rPr>
        <w:t>υ</w:t>
      </w:r>
      <w:r>
        <w:rPr>
          <w:rFonts w:ascii="Times New Roman" w:hAnsi="Times New Roman"/>
          <w:sz w:val="24"/>
          <w:szCs w:val="24"/>
        </w:rPr>
        <w:t xml:space="preserve"> = 1 град/мин. Дюрометрические изм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рения проводили на микротвердомере ПМТ-3, </w:t>
      </w:r>
      <w:r>
        <w:rPr>
          <w:rFonts w:ascii="Times New Roman" w:hAnsi="Times New Roman"/>
          <w:i/>
          <w:sz w:val="24"/>
          <w:szCs w:val="24"/>
          <w:lang w:val="en-US"/>
        </w:rPr>
        <w:t>F</w:t>
      </w:r>
      <w:r>
        <w:rPr>
          <w:rFonts w:ascii="Times New Roman" w:hAnsi="Times New Roman"/>
          <w:sz w:val="24"/>
          <w:szCs w:val="24"/>
        </w:rPr>
        <w:t xml:space="preserve">=0,1 </w:t>
      </w:r>
      <w:r>
        <w:rPr>
          <w:rFonts w:ascii="Times New Roman" w:hAnsi="Times New Roman"/>
          <w:i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 xml:space="preserve"> (±2 </w:t>
      </w:r>
      <w:r>
        <w:rPr>
          <w:rFonts w:ascii="Times New Roman" w:hAnsi="Times New Roman"/>
          <w:i/>
          <w:sz w:val="24"/>
          <w:szCs w:val="24"/>
        </w:rPr>
        <w:t>Н</w:t>
      </w:r>
      <w:r>
        <w:rPr>
          <w:rFonts w:ascii="Times New Roman" w:hAnsi="Times New Roman"/>
          <w:i/>
          <w:sz w:val="24"/>
          <w:szCs w:val="24"/>
          <w:lang w:val="en-US"/>
        </w:rPr>
        <w:t>V</w:t>
      </w:r>
      <w:r>
        <w:rPr>
          <w:rFonts w:ascii="Times New Roman" w:hAnsi="Times New Roman"/>
          <w:sz w:val="24"/>
          <w:szCs w:val="24"/>
        </w:rPr>
        <w:t>) в соответствии с ГОСТ 9450-76.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Обработку результатов измерений осуществляли при помощи стандартного и ориг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нального программного обеспечения. Рентгеноструктурные данные – ППП </w:t>
      </w:r>
      <w:r>
        <w:rPr>
          <w:rFonts w:ascii="Times New Roman" w:hAnsi="Times New Roman"/>
          <w:i/>
          <w:sz w:val="24"/>
          <w:szCs w:val="24"/>
          <w:lang w:val="en-US"/>
        </w:rPr>
        <w:t>PDXL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  <w:lang w:val="en-US"/>
        </w:rPr>
        <w:t>RIGAKU</w:t>
      </w:r>
      <w:r>
        <w:rPr>
          <w:rFonts w:ascii="Times New Roman" w:hAnsi="Times New Roman"/>
          <w:sz w:val="24"/>
          <w:szCs w:val="24"/>
        </w:rPr>
        <w:t xml:space="preserve">, механические данные -  </w:t>
      </w:r>
      <w:r>
        <w:rPr>
          <w:rFonts w:ascii="Times New Roman" w:hAnsi="Times New Roman"/>
          <w:i/>
          <w:sz w:val="24"/>
          <w:szCs w:val="24"/>
          <w:lang w:val="en-US"/>
        </w:rPr>
        <w:t>PDXL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  <w:lang w:val="en-US"/>
        </w:rPr>
        <w:t>Instron</w:t>
      </w:r>
      <w:r>
        <w:rPr>
          <w:rFonts w:ascii="Times New Roman" w:hAnsi="Times New Roman"/>
          <w:sz w:val="24"/>
          <w:szCs w:val="24"/>
        </w:rPr>
        <w:t xml:space="preserve"> 5882, ВТ - «Программа аппроксимации температурной зависимости внутреннего трения», фрактальный анализ -  «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Fractal</w:t>
      </w:r>
      <w:r>
        <w:rPr>
          <w:rFonts w:ascii="Times New Roman" w:hAnsi="Times New Roman"/>
          <w:i/>
          <w:iCs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 (ТулГУ), ППП«</w:t>
      </w:r>
      <w:r>
        <w:rPr>
          <w:rFonts w:ascii="Times New Roman" w:hAnsi="Times New Roman"/>
          <w:i/>
          <w:sz w:val="24"/>
          <w:szCs w:val="24"/>
          <w:lang w:val="en-US"/>
        </w:rPr>
        <w:t>Axio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  <w:lang w:val="en-US"/>
        </w:rPr>
        <w:t>O</w:t>
      </w:r>
      <w:r>
        <w:rPr>
          <w:rFonts w:ascii="Times New Roman" w:hAnsi="Times New Roman"/>
          <w:i/>
          <w:sz w:val="24"/>
          <w:szCs w:val="24"/>
          <w:lang w:val="en-US"/>
        </w:rPr>
        <w:t>b</w:t>
      </w:r>
      <w:r>
        <w:rPr>
          <w:rFonts w:ascii="Times New Roman" w:hAnsi="Times New Roman"/>
          <w:i/>
          <w:sz w:val="24"/>
          <w:szCs w:val="24"/>
          <w:lang w:val="en-US"/>
        </w:rPr>
        <w:t>server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  <w:lang w:val="en-US"/>
        </w:rPr>
        <w:t>D</w:t>
      </w:r>
      <w:r>
        <w:rPr>
          <w:rFonts w:ascii="Times New Roman" w:hAnsi="Times New Roman"/>
          <w:i/>
          <w:sz w:val="24"/>
          <w:szCs w:val="24"/>
        </w:rPr>
        <w:t>1</w:t>
      </w:r>
      <w:r>
        <w:rPr>
          <w:rFonts w:ascii="Times New Roman" w:hAnsi="Times New Roman"/>
          <w:i/>
          <w:sz w:val="24"/>
          <w:szCs w:val="24"/>
          <w:lang w:val="en-US"/>
        </w:rPr>
        <w:t>m</w:t>
      </w:r>
      <w:r>
        <w:rPr>
          <w:rFonts w:ascii="Times New Roman" w:hAnsi="Times New Roman"/>
          <w:sz w:val="24"/>
          <w:szCs w:val="24"/>
        </w:rPr>
        <w:t>».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>
        <w:rPr>
          <w:rFonts w:ascii="Times New Roman" w:hAnsi="Times New Roman"/>
          <w:iCs/>
          <w:sz w:val="24"/>
          <w:szCs w:val="24"/>
        </w:rPr>
        <w:t>Для статистического анализа и графического представления экспериментальн</w:t>
      </w:r>
      <w:r>
        <w:rPr>
          <w:rFonts w:ascii="Times New Roman" w:hAnsi="Times New Roman"/>
          <w:iCs/>
          <w:sz w:val="24"/>
          <w:szCs w:val="24"/>
        </w:rPr>
        <w:t>о</w:t>
      </w:r>
      <w:r>
        <w:rPr>
          <w:rFonts w:ascii="Times New Roman" w:hAnsi="Times New Roman"/>
          <w:iCs/>
          <w:sz w:val="24"/>
          <w:szCs w:val="24"/>
        </w:rPr>
        <w:t>го материала использовали ППП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Statistica</w:t>
      </w:r>
      <w:r>
        <w:rPr>
          <w:rFonts w:ascii="Times New Roman" w:hAnsi="Times New Roman"/>
          <w:i/>
          <w:iCs/>
          <w:sz w:val="24"/>
          <w:szCs w:val="24"/>
        </w:rPr>
        <w:t xml:space="preserve"> 5.0, 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MS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Excel</w:t>
      </w:r>
      <w:r>
        <w:rPr>
          <w:rFonts w:ascii="Times New Roman" w:hAnsi="Times New Roman"/>
          <w:i/>
          <w:iCs/>
          <w:sz w:val="24"/>
          <w:szCs w:val="24"/>
        </w:rPr>
        <w:t xml:space="preserve"> 2007, 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Image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ProPlus</w:t>
      </w:r>
      <w:r>
        <w:rPr>
          <w:rFonts w:ascii="Times New Roman" w:hAnsi="Times New Roman"/>
          <w:i/>
          <w:iCs/>
          <w:sz w:val="24"/>
          <w:szCs w:val="24"/>
        </w:rPr>
        <w:t xml:space="preserve">, 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Origin</w:t>
      </w:r>
      <w:r>
        <w:rPr>
          <w:rFonts w:ascii="Times New Roman" w:hAnsi="Times New Roman"/>
          <w:i/>
          <w:iCs/>
          <w:sz w:val="24"/>
          <w:szCs w:val="24"/>
        </w:rPr>
        <w:t xml:space="preserve"> 7.0</w:t>
      </w:r>
      <w:r>
        <w:rPr>
          <w:rFonts w:ascii="Times New Roman" w:hAnsi="Times New Roman"/>
          <w:iCs/>
          <w:sz w:val="24"/>
          <w:szCs w:val="24"/>
        </w:rPr>
        <w:t>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Третья глава</w:t>
      </w:r>
      <w:r>
        <w:rPr>
          <w:rFonts w:ascii="Times New Roman" w:hAnsi="Times New Roman"/>
          <w:sz w:val="24"/>
          <w:szCs w:val="24"/>
        </w:rPr>
        <w:t xml:space="preserve"> посвящена экспериментальному подтверждению комплексной конце</w:t>
      </w:r>
      <w:r>
        <w:rPr>
          <w:rFonts w:ascii="Times New Roman" w:hAnsi="Times New Roman"/>
          <w:sz w:val="24"/>
          <w:szCs w:val="24"/>
        </w:rPr>
        <w:t>п</w:t>
      </w:r>
      <w:r>
        <w:rPr>
          <w:rFonts w:ascii="Times New Roman" w:hAnsi="Times New Roman"/>
          <w:sz w:val="24"/>
          <w:szCs w:val="24"/>
        </w:rPr>
        <w:t xml:space="preserve">ции повреждаемости и разработке </w:t>
      </w:r>
      <w:r w:rsidRPr="000E7757">
        <w:rPr>
          <w:rFonts w:ascii="Times New Roman" w:hAnsi="Times New Roman"/>
          <w:i/>
          <w:sz w:val="24"/>
          <w:szCs w:val="24"/>
        </w:rPr>
        <w:t>феноменологической модели</w:t>
      </w:r>
      <w:r>
        <w:rPr>
          <w:rFonts w:ascii="Times New Roman" w:hAnsi="Times New Roman"/>
          <w:sz w:val="24"/>
          <w:szCs w:val="24"/>
        </w:rPr>
        <w:t xml:space="preserve"> её развития для </w:t>
      </w:r>
      <w:r>
        <w:rPr>
          <w:rFonts w:ascii="Times New Roman" w:hAnsi="Times New Roman"/>
          <w:i/>
          <w:sz w:val="24"/>
          <w:szCs w:val="24"/>
        </w:rPr>
        <w:t>деформац</w:t>
      </w:r>
      <w:r>
        <w:rPr>
          <w:rFonts w:ascii="Times New Roman" w:hAnsi="Times New Roman"/>
          <w:i/>
          <w:sz w:val="24"/>
          <w:szCs w:val="24"/>
        </w:rPr>
        <w:t>и</w:t>
      </w:r>
      <w:r>
        <w:rPr>
          <w:rFonts w:ascii="Times New Roman" w:hAnsi="Times New Roman"/>
          <w:i/>
          <w:sz w:val="24"/>
          <w:szCs w:val="24"/>
        </w:rPr>
        <w:t>онной повреждаемости</w:t>
      </w:r>
      <w:r>
        <w:rPr>
          <w:rFonts w:ascii="Times New Roman" w:hAnsi="Times New Roman"/>
          <w:sz w:val="24"/>
          <w:szCs w:val="24"/>
        </w:rPr>
        <w:t>. На предварительно деформированных в диапазоне 0…20 % обра</w:t>
      </w:r>
      <w:r>
        <w:rPr>
          <w:rFonts w:ascii="Times New Roman" w:hAnsi="Times New Roman"/>
          <w:sz w:val="24"/>
          <w:szCs w:val="24"/>
        </w:rPr>
        <w:t>з</w:t>
      </w:r>
      <w:r>
        <w:rPr>
          <w:rFonts w:ascii="Times New Roman" w:hAnsi="Times New Roman"/>
          <w:sz w:val="24"/>
          <w:szCs w:val="24"/>
        </w:rPr>
        <w:t xml:space="preserve">цах сталей 20, 08Г2С и сплава </w:t>
      </w:r>
      <w:r>
        <w:rPr>
          <w:rFonts w:ascii="Times New Roman" w:hAnsi="Times New Roman"/>
          <w:i/>
          <w:sz w:val="24"/>
          <w:szCs w:val="24"/>
          <w:lang w:val="en-US"/>
        </w:rPr>
        <w:t>Fe</w:t>
      </w:r>
      <w:r>
        <w:rPr>
          <w:rFonts w:ascii="Times New Roman" w:hAnsi="Times New Roman"/>
          <w:sz w:val="24"/>
          <w:szCs w:val="24"/>
        </w:rPr>
        <w:t xml:space="preserve">-0,09 % </w:t>
      </w:r>
      <w:r>
        <w:rPr>
          <w:rFonts w:ascii="Times New Roman" w:hAnsi="Times New Roman"/>
          <w:i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 провели комплекс исследований диссипативных параметров, характеристик тонкой структуры, металлографических исследований, механич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ских и микромеханических испытаний.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Неупругие эффекты (максимумы ТЗВТ) идентифицировали по их температурным п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ложениям, энергиям активации, отношению к внешним воздействиям. Каждый из них и</w:t>
      </w: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пользовали в качестве инструмента анализа субструктуры. Фон ВТ отражал уровень микр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искажений в объеме образца; деструкционный максимум (Д) позволил контролировать ур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вень микроискажений в локальных зонах их концентрации; максимум Снука (Сн) отражал концентрацию </w:t>
      </w:r>
      <w:r>
        <w:rPr>
          <w:rFonts w:ascii="Times New Roman" w:hAnsi="Times New Roman"/>
          <w:i/>
          <w:sz w:val="24"/>
          <w:szCs w:val="24"/>
        </w:rPr>
        <w:t>С,</w:t>
      </w:r>
      <w:r>
        <w:rPr>
          <w:rFonts w:ascii="Times New Roman" w:hAnsi="Times New Roman"/>
          <w:i/>
          <w:sz w:val="24"/>
          <w:szCs w:val="24"/>
          <w:lang w:val="en-US"/>
        </w:rPr>
        <w:t>N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 феррите; максимум Снука-Ке-Кестера (СК) иллюстрировал интенси</w:t>
      </w:r>
      <w:r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>ность дислокационно-примесного взаимодействия (ДПВ) и микроискажений; водородный максимум Снука-Кестера (СКн) демонстрировал диффузию атомарного и подвижность в п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ле напряжений дислокаций молизованного водорода. Компьютерным моделированием выя</w:t>
      </w:r>
      <w:r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>ляли унимодальные пики, составляющие сложные максимумы. Работоспособность оп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са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ного инструментария оценили, моделируя трещинообразование в сталях наличием графи</w:t>
      </w:r>
      <w:r>
        <w:rPr>
          <w:rFonts w:ascii="Times New Roman" w:hAnsi="Times New Roman"/>
          <w:sz w:val="24"/>
          <w:szCs w:val="24"/>
        </w:rPr>
        <w:t>т</w:t>
      </w:r>
      <w:r>
        <w:rPr>
          <w:rFonts w:ascii="Times New Roman" w:hAnsi="Times New Roman"/>
          <w:sz w:val="24"/>
          <w:szCs w:val="24"/>
        </w:rPr>
        <w:t xml:space="preserve">ных включений в сером чугуне (СЧ15).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-72390</wp:posOffset>
            </wp:positionH>
            <wp:positionV relativeFrom="paragraph">
              <wp:posOffset>1967865</wp:posOffset>
            </wp:positionV>
            <wp:extent cx="2979420" cy="1739900"/>
            <wp:effectExtent l="0" t="0" r="0" b="0"/>
            <wp:wrapSquare wrapText="bothSides"/>
            <wp:docPr id="9" name="Диаграмма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2"/>
                    <pic:cNvPicPr>
                      <a:picLocks noChangeArrowheads="1"/>
                    </pic:cNvPicPr>
                  </pic:nvPicPr>
                  <pic:blipFill>
                    <a:blip r:embed="rId10" cstate="print"/>
                    <a:srcRect l="-4404" t="-3644" r="-7999" b="-18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420" cy="173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3052445</wp:posOffset>
            </wp:positionH>
            <wp:positionV relativeFrom="paragraph">
              <wp:posOffset>2061845</wp:posOffset>
            </wp:positionV>
            <wp:extent cx="2792730" cy="1691005"/>
            <wp:effectExtent l="0" t="0" r="0" b="0"/>
            <wp:wrapSquare wrapText="bothSides"/>
            <wp:docPr id="5" name="Диаграмма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18"/>
                    <pic:cNvPicPr>
                      <a:picLocks noChangeArrowheads="1"/>
                    </pic:cNvPicPr>
                  </pic:nvPicPr>
                  <pic:blipFill>
                    <a:blip r:embed="rId11" cstate="print"/>
                    <a:srcRect l="-1714" t="-1094" r="-3786" b="-43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730" cy="1691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t>Выявили три области, различного изменения параметров ВТ (субструктуры) с увел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чением степени предварительной деформации: 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 (ε=0…4 %),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 (ε=4…10÷12 %), </w:t>
      </w:r>
      <w:r>
        <w:rPr>
          <w:rFonts w:ascii="Times New Roman" w:hAnsi="Times New Roman"/>
          <w:sz w:val="24"/>
          <w:szCs w:val="24"/>
          <w:lang w:val="en-US"/>
        </w:rPr>
        <w:t>III</w:t>
      </w:r>
      <w:r>
        <w:rPr>
          <w:rFonts w:ascii="Times New Roman" w:hAnsi="Times New Roman"/>
          <w:sz w:val="24"/>
          <w:szCs w:val="24"/>
        </w:rPr>
        <w:t xml:space="preserve"> (ε=10÷12…17 %). Их интерпретация была следующей. Область 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 - область деградации, о</w:t>
      </w:r>
      <w:r>
        <w:rPr>
          <w:rFonts w:ascii="Times New Roman" w:hAnsi="Times New Roman"/>
          <w:sz w:val="24"/>
          <w:szCs w:val="24"/>
        </w:rPr>
        <w:t>б</w:t>
      </w:r>
      <w:r>
        <w:rPr>
          <w:rFonts w:ascii="Times New Roman" w:hAnsi="Times New Roman"/>
          <w:sz w:val="24"/>
          <w:szCs w:val="24"/>
        </w:rPr>
        <w:t xml:space="preserve">ласть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 деградационно-деструкционная область, область </w:t>
      </w:r>
      <w:r>
        <w:rPr>
          <w:rFonts w:ascii="Times New Roman" w:hAnsi="Times New Roman"/>
          <w:sz w:val="24"/>
          <w:szCs w:val="24"/>
          <w:lang w:val="en-US"/>
        </w:rPr>
        <w:t>III</w:t>
      </w:r>
      <w:r>
        <w:rPr>
          <w:rFonts w:ascii="Times New Roman" w:hAnsi="Times New Roman"/>
          <w:sz w:val="24"/>
          <w:szCs w:val="24"/>
        </w:rPr>
        <w:t xml:space="preserve"> - область активной деструкции. В указанных областях фиксировали следующие процессы. В </w:t>
      </w:r>
      <w:r>
        <w:rPr>
          <w:rFonts w:ascii="Times New Roman" w:hAnsi="Times New Roman"/>
          <w:i/>
          <w:sz w:val="24"/>
          <w:szCs w:val="24"/>
        </w:rPr>
        <w:t xml:space="preserve">области </w:t>
      </w:r>
      <w:r>
        <w:rPr>
          <w:rFonts w:ascii="Times New Roman" w:hAnsi="Times New Roman"/>
          <w:i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 (ε=0-4 %): а) перера</w:t>
      </w: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пределение </w:t>
      </w:r>
      <w:r>
        <w:rPr>
          <w:rFonts w:ascii="Times New Roman" w:hAnsi="Times New Roman"/>
          <w:i/>
          <w:sz w:val="24"/>
          <w:szCs w:val="24"/>
        </w:rPr>
        <w:t>С,</w:t>
      </w:r>
      <w:r>
        <w:rPr>
          <w:rFonts w:ascii="Times New Roman" w:hAnsi="Times New Roman"/>
          <w:i/>
          <w:sz w:val="24"/>
          <w:szCs w:val="24"/>
          <w:lang w:val="en-US"/>
        </w:rPr>
        <w:t>N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 феррите, б) изменение ДПВ; в) рост уровня микроискажений в объеме, при низком их уровне в зонах концентрации (ЛЗКН) (рис.1). Такую трактовку подтвердили р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зультаты рентгеноструктурного анализа (рост плотности свободных дислокаций и микрон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пряжений) (рис.2). Обнаружили несплошности 1-2 мкм. Указанные изменения не затрагив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ли модуль упругости, размер областей когерентного рассеяния и параметр решетки феррита.</w:t>
      </w:r>
    </w:p>
    <w:p w:rsidR="00575CDB" w:rsidRDefault="00F855BB" w:rsidP="00F855BB">
      <w:pPr>
        <w:widowControl w:val="0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 xml:space="preserve">                                        </w:t>
      </w:r>
    </w:p>
    <w:p w:rsidR="00F855BB" w:rsidRDefault="00F855BB" w:rsidP="00F855BB">
      <w:pPr>
        <w:widowContro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Cs w:val="24"/>
        </w:rPr>
        <w:t xml:space="preserve">      </w:t>
      </w:r>
      <w:r w:rsidR="00575CDB">
        <w:rPr>
          <w:rFonts w:ascii="Times New Roman" w:hAnsi="Times New Roman"/>
          <w:b/>
          <w:szCs w:val="24"/>
        </w:rPr>
        <w:t xml:space="preserve">                        </w:t>
      </w:r>
      <w:r>
        <w:rPr>
          <w:rFonts w:ascii="Times New Roman" w:hAnsi="Times New Roman"/>
          <w:b/>
          <w:szCs w:val="24"/>
        </w:rPr>
        <w:t xml:space="preserve">    </w:t>
      </w:r>
      <w:r w:rsidR="00575CDB">
        <w:rPr>
          <w:rFonts w:ascii="Times New Roman" w:hAnsi="Times New Roman"/>
          <w:b/>
          <w:szCs w:val="24"/>
        </w:rPr>
        <w:t xml:space="preserve">       </w:t>
      </w:r>
      <w:r>
        <w:rPr>
          <w:rFonts w:ascii="Times New Roman" w:hAnsi="Times New Roman"/>
          <w:b/>
          <w:szCs w:val="24"/>
        </w:rPr>
        <w:t xml:space="preserve">а)         </w:t>
      </w:r>
      <w:r w:rsidR="00575CDB">
        <w:rPr>
          <w:rFonts w:ascii="Times New Roman" w:hAnsi="Times New Roman"/>
          <w:b/>
          <w:szCs w:val="24"/>
        </w:rPr>
        <w:t xml:space="preserve">                           </w:t>
      </w:r>
      <w:r>
        <w:rPr>
          <w:rFonts w:ascii="Times New Roman" w:hAnsi="Times New Roman"/>
          <w:b/>
          <w:szCs w:val="24"/>
        </w:rPr>
        <w:t xml:space="preserve">б)                        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3314065</wp:posOffset>
            </wp:positionH>
            <wp:positionV relativeFrom="paragraph">
              <wp:posOffset>19685</wp:posOffset>
            </wp:positionV>
            <wp:extent cx="2816225" cy="1488440"/>
            <wp:effectExtent l="0" t="0" r="3175" b="0"/>
            <wp:wrapSquare wrapText="bothSides"/>
            <wp:docPr id="10" name="Диаграмма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8"/>
                    <pic:cNvPicPr>
                      <a:picLocks noChangeArrowheads="1"/>
                    </pic:cNvPicPr>
                  </pic:nvPicPr>
                  <pic:blipFill>
                    <a:blip r:embed="rId12" cstate="print"/>
                    <a:srcRect l="-1178" t="-3041" r="-673" b="-19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225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855BB" w:rsidRDefault="000C7EE6" w:rsidP="00F855BB">
      <w:pPr>
        <w:widowControl w:val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660400</wp:posOffset>
            </wp:positionV>
            <wp:extent cx="3190875" cy="1676400"/>
            <wp:effectExtent l="0" t="0" r="0" b="0"/>
            <wp:wrapSquare wrapText="bothSides"/>
            <wp:docPr id="6" name="Диаграмма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20"/>
                    <pic:cNvPicPr>
                      <a:picLocks noChangeArrowheads="1"/>
                    </pic:cNvPicPr>
                  </pic:nvPicPr>
                  <pic:blipFill>
                    <a:blip r:embed="rId13" cstate="print"/>
                    <a:srcRect l="-2383" t="-5565" r="-6090" b="-4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855BB">
        <w:rPr>
          <w:rFonts w:ascii="Times New Roman" w:hAnsi="Times New Roman"/>
          <w:szCs w:val="24"/>
        </w:rPr>
        <w:t>Рис</w:t>
      </w:r>
      <w:r w:rsidR="003002E5">
        <w:rPr>
          <w:rFonts w:ascii="Times New Roman" w:hAnsi="Times New Roman"/>
          <w:szCs w:val="24"/>
        </w:rPr>
        <w:t>.</w:t>
      </w:r>
      <w:r w:rsidR="00A45954">
        <w:rPr>
          <w:rFonts w:ascii="Times New Roman" w:hAnsi="Times New Roman"/>
          <w:szCs w:val="24"/>
        </w:rPr>
        <w:t xml:space="preserve"> 1 </w:t>
      </w:r>
      <w:r w:rsidR="00F855BB">
        <w:rPr>
          <w:rFonts w:ascii="Times New Roman" w:hAnsi="Times New Roman"/>
          <w:szCs w:val="24"/>
        </w:rPr>
        <w:t xml:space="preserve"> </w:t>
      </w:r>
      <w:r w:rsidR="00F855BB">
        <w:rPr>
          <w:rFonts w:ascii="Times New Roman" w:hAnsi="Times New Roman"/>
          <w:bCs/>
          <w:szCs w:val="24"/>
        </w:rPr>
        <w:t>Влияние предварительной деформации на параметры неупругих эффектов: (а) максимума Сн</w:t>
      </w:r>
      <w:r w:rsidR="00F855BB">
        <w:rPr>
          <w:rFonts w:ascii="Times New Roman" w:hAnsi="Times New Roman"/>
          <w:bCs/>
          <w:szCs w:val="24"/>
        </w:rPr>
        <w:t>у</w:t>
      </w:r>
      <w:r w:rsidR="00F855BB">
        <w:rPr>
          <w:rFonts w:ascii="Times New Roman" w:hAnsi="Times New Roman"/>
          <w:bCs/>
          <w:szCs w:val="24"/>
        </w:rPr>
        <w:t>ка; (б) деструкционного; (в) Снука-Кестера (сталь 20)</w:t>
      </w:r>
    </w:p>
    <w:p w:rsidR="00F855BB" w:rsidRDefault="002C4031" w:rsidP="00F855BB">
      <w:pPr>
        <w:widowControl w:val="0"/>
        <w:jc w:val="both"/>
        <w:rPr>
          <w:rFonts w:ascii="Times New Roman" w:hAnsi="Times New Roman"/>
          <w:b/>
          <w:sz w:val="24"/>
          <w:szCs w:val="24"/>
        </w:rPr>
      </w:pPr>
      <w:r w:rsidRPr="002C4031">
        <w:rPr>
          <w:rFonts w:ascii="Times New Roman" w:hAnsi="Times New Roman"/>
          <w:noProof/>
          <w:szCs w:val="24"/>
          <w:lang w:eastAsia="ru-RU"/>
        </w:rPr>
        <w:pict>
          <v:shape id="_x0000_s1044" type="#_x0000_t202" style="position:absolute;left:0;text-align:left;margin-left:-85.85pt;margin-top:38.9pt;width:54.15pt;height:77.5pt;z-index:251678720" filled="f" stroked="f">
            <v:textbox style="mso-next-textbox:#_x0000_s1044">
              <w:txbxContent>
                <w:p w:rsidR="00A45954" w:rsidRDefault="00A45954" w:rsidP="00F855BB">
                  <w:pPr>
                    <w:rPr>
                      <w:rFonts w:ascii="Times New Roman" w:hAnsi="Times New Roman"/>
                      <w:b/>
                      <w:i/>
                      <w:szCs w:val="24"/>
                    </w:rPr>
                  </w:pPr>
                  <w:r w:rsidRPr="00716EDA">
                    <w:rPr>
                      <w:rFonts w:ascii="Times New Roman" w:hAnsi="Times New Roman"/>
                      <w:b/>
                      <w:i/>
                      <w:szCs w:val="24"/>
                      <w:lang w:val="en-US"/>
                    </w:rPr>
                    <w:t>e</w:t>
                  </w:r>
                </w:p>
                <w:p w:rsidR="00A45954" w:rsidRPr="000C7EE6" w:rsidRDefault="00A45954" w:rsidP="00F855BB">
                  <w:pPr>
                    <w:rPr>
                      <w:rFonts w:ascii="Times New Roman" w:hAnsi="Times New Roman"/>
                      <w:b/>
                      <w:i/>
                      <w:szCs w:val="24"/>
                    </w:rPr>
                  </w:pPr>
                </w:p>
                <w:p w:rsidR="00A45954" w:rsidRPr="00716EDA" w:rsidRDefault="00A45954" w:rsidP="00F855BB">
                  <w:pPr>
                    <w:rPr>
                      <w:b/>
                    </w:rPr>
                  </w:pPr>
                  <w:r w:rsidRPr="00716EDA">
                    <w:rPr>
                      <w:rFonts w:ascii="Times New Roman" w:hAnsi="Times New Roman"/>
                      <w:b/>
                      <w:i/>
                      <w:szCs w:val="24"/>
                    </w:rPr>
                    <w:t xml:space="preserve"> ρ</w:t>
                  </w:r>
                </w:p>
              </w:txbxContent>
            </v:textbox>
          </v:shape>
        </w:pict>
      </w:r>
      <w:r w:rsidR="00F855BB">
        <w:rPr>
          <w:rFonts w:ascii="Times New Roman" w:hAnsi="Times New Roman"/>
          <w:b/>
          <w:sz w:val="24"/>
          <w:szCs w:val="24"/>
        </w:rPr>
        <w:t xml:space="preserve">                                  </w:t>
      </w:r>
      <w:r w:rsidR="000C7EE6" w:rsidRPr="00E227F1">
        <w:rPr>
          <w:rFonts w:ascii="Times New Roman" w:hAnsi="Times New Roman"/>
          <w:b/>
          <w:szCs w:val="24"/>
        </w:rPr>
        <w:t>в)</w:t>
      </w:r>
      <w:r w:rsidR="00F855BB">
        <w:rPr>
          <w:rFonts w:ascii="Times New Roman" w:hAnsi="Times New Roman"/>
          <w:b/>
          <w:sz w:val="24"/>
          <w:szCs w:val="24"/>
        </w:rPr>
        <w:t xml:space="preserve">                                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b/>
          <w:szCs w:val="24"/>
        </w:rPr>
      </w:pPr>
      <w:r w:rsidRPr="00E227F1">
        <w:rPr>
          <w:rFonts w:ascii="Times New Roman" w:hAnsi="Times New Roman"/>
          <w:b/>
          <w:szCs w:val="24"/>
        </w:rPr>
        <w:t xml:space="preserve">                                          </w:t>
      </w:r>
    </w:p>
    <w:p w:rsidR="000C7EE6" w:rsidRDefault="002C4031" w:rsidP="000C7EE6">
      <w:pPr>
        <w:widowControl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ru-RU"/>
        </w:rPr>
        <w:pict>
          <v:shape id="_x0000_s1043" type="#_x0000_t202" style="position:absolute;margin-left:409.7pt;margin-top:40.05pt;width:47.4pt;height:43.7pt;z-index:251677696" filled="f" stroked="f">
            <v:textbox style="mso-next-textbox:#_x0000_s1043">
              <w:txbxContent>
                <w:p w:rsidR="00A45954" w:rsidRPr="00482AB6" w:rsidRDefault="00A45954" w:rsidP="00F855BB">
                  <w:pPr>
                    <w:rPr>
                      <w:rFonts w:ascii="Times New Roman" w:hAnsi="Times New Roman"/>
                      <w:b/>
                      <w:i/>
                      <w:szCs w:val="24"/>
                    </w:rPr>
                  </w:pPr>
                  <w:r w:rsidRPr="00482AB6">
                    <w:rPr>
                      <w:rFonts w:ascii="Times New Roman" w:hAnsi="Times New Roman"/>
                      <w:b/>
                      <w:i/>
                      <w:szCs w:val="24"/>
                      <w:lang w:val="en-US"/>
                    </w:rPr>
                    <w:t>e</w:t>
                  </w:r>
                </w:p>
                <w:p w:rsidR="00A45954" w:rsidRPr="00482AB6" w:rsidRDefault="00A45954" w:rsidP="00F855BB">
                  <w:pPr>
                    <w:rPr>
                      <w:b/>
                    </w:rPr>
                  </w:pPr>
                  <w:r w:rsidRPr="00482AB6">
                    <w:rPr>
                      <w:rFonts w:ascii="Times New Roman" w:hAnsi="Times New Roman"/>
                      <w:b/>
                      <w:i/>
                      <w:szCs w:val="24"/>
                    </w:rPr>
                    <w:t>ρ</w:t>
                  </w:r>
                </w:p>
              </w:txbxContent>
            </v:textbox>
          </v:shape>
        </w:pict>
      </w:r>
      <w:r w:rsidR="00F855BB">
        <w:rPr>
          <w:rFonts w:ascii="Times New Roman" w:hAnsi="Times New Roman"/>
          <w:b/>
          <w:szCs w:val="24"/>
        </w:rPr>
        <w:t xml:space="preserve"> </w:t>
      </w:r>
      <w:r w:rsidR="00F855BB">
        <w:rPr>
          <w:rFonts w:ascii="Times New Roman" w:hAnsi="Times New Roman"/>
          <w:szCs w:val="24"/>
        </w:rPr>
        <w:t>Рис</w:t>
      </w:r>
      <w:r w:rsidR="003002E5">
        <w:rPr>
          <w:rFonts w:ascii="Times New Roman" w:hAnsi="Times New Roman"/>
          <w:szCs w:val="24"/>
        </w:rPr>
        <w:t>.</w:t>
      </w:r>
      <w:r w:rsidR="00A45954">
        <w:rPr>
          <w:rFonts w:ascii="Times New Roman" w:hAnsi="Times New Roman"/>
          <w:szCs w:val="24"/>
        </w:rPr>
        <w:t xml:space="preserve"> 2 </w:t>
      </w:r>
      <w:r w:rsidR="00F855BB">
        <w:rPr>
          <w:rFonts w:ascii="Times New Roman" w:hAnsi="Times New Roman"/>
          <w:szCs w:val="24"/>
        </w:rPr>
        <w:t xml:space="preserve">Зависимости плотности дислокаций </w:t>
      </w:r>
      <w:r w:rsidR="00F855BB">
        <w:rPr>
          <w:rFonts w:ascii="Times New Roman" w:hAnsi="Times New Roman"/>
          <w:i/>
          <w:szCs w:val="24"/>
        </w:rPr>
        <w:t>ρ</w:t>
      </w:r>
      <w:r w:rsidR="00F855BB">
        <w:rPr>
          <w:rFonts w:ascii="Times New Roman" w:hAnsi="Times New Roman"/>
          <w:szCs w:val="24"/>
        </w:rPr>
        <w:t xml:space="preserve"> и микронапряжений </w:t>
      </w:r>
      <w:r w:rsidR="00F855BB">
        <w:rPr>
          <w:rFonts w:ascii="Times New Roman" w:hAnsi="Times New Roman"/>
          <w:i/>
          <w:szCs w:val="24"/>
          <w:lang w:val="en-US"/>
        </w:rPr>
        <w:t>e</w:t>
      </w:r>
      <w:r w:rsidR="00F855BB">
        <w:rPr>
          <w:rFonts w:ascii="Times New Roman" w:hAnsi="Times New Roman"/>
          <w:i/>
          <w:szCs w:val="24"/>
        </w:rPr>
        <w:t xml:space="preserve"> </w:t>
      </w:r>
      <w:r w:rsidR="00F855BB">
        <w:rPr>
          <w:rFonts w:ascii="Times New Roman" w:hAnsi="Times New Roman"/>
          <w:szCs w:val="24"/>
        </w:rPr>
        <w:t>от степени предварител</w:t>
      </w:r>
      <w:r w:rsidR="00F855BB">
        <w:rPr>
          <w:rFonts w:ascii="Times New Roman" w:hAnsi="Times New Roman"/>
          <w:szCs w:val="24"/>
        </w:rPr>
        <w:t>ь</w:t>
      </w:r>
      <w:r w:rsidR="00F855BB">
        <w:rPr>
          <w:rFonts w:ascii="Times New Roman" w:hAnsi="Times New Roman"/>
          <w:szCs w:val="24"/>
        </w:rPr>
        <w:t>ной деформации (сталь 20)</w:t>
      </w:r>
    </w:p>
    <w:p w:rsidR="000C7EE6" w:rsidRDefault="000C7EE6" w:rsidP="000C7EE6">
      <w:pPr>
        <w:widowControl w:val="0"/>
        <w:rPr>
          <w:rFonts w:ascii="Times New Roman" w:hAnsi="Times New Roman"/>
          <w:szCs w:val="24"/>
        </w:rPr>
      </w:pPr>
    </w:p>
    <w:p w:rsidR="00F855BB" w:rsidRDefault="00F855BB" w:rsidP="000C7EE6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Аналогичные деградационные пр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цессы фиксировали в образцах модельного сплава </w:t>
      </w:r>
      <w:r>
        <w:rPr>
          <w:rFonts w:ascii="Times New Roman" w:hAnsi="Times New Roman"/>
          <w:i/>
          <w:sz w:val="24"/>
          <w:szCs w:val="24"/>
          <w:lang w:val="en-US"/>
        </w:rPr>
        <w:t>Fe</w:t>
      </w:r>
      <w:r>
        <w:rPr>
          <w:rFonts w:ascii="Times New Roman" w:hAnsi="Times New Roman"/>
          <w:sz w:val="24"/>
          <w:szCs w:val="24"/>
        </w:rPr>
        <w:t xml:space="preserve">-0,09 % </w:t>
      </w:r>
      <w:r>
        <w:rPr>
          <w:rFonts w:ascii="Times New Roman" w:hAnsi="Times New Roman"/>
          <w:i/>
          <w:sz w:val="24"/>
          <w:szCs w:val="24"/>
        </w:rPr>
        <w:t xml:space="preserve">С </w:t>
      </w:r>
      <w:r>
        <w:rPr>
          <w:rFonts w:ascii="Times New Roman" w:hAnsi="Times New Roman"/>
          <w:sz w:val="24"/>
          <w:szCs w:val="24"/>
        </w:rPr>
        <w:t xml:space="preserve">и стали 08Г2С. </w:t>
      </w:r>
      <w:r>
        <w:rPr>
          <w:rFonts w:ascii="Times New Roman" w:hAnsi="Times New Roman"/>
          <w:i/>
          <w:sz w:val="24"/>
          <w:szCs w:val="24"/>
        </w:rPr>
        <w:t xml:space="preserve">Область </w:t>
      </w:r>
      <w:r>
        <w:rPr>
          <w:rFonts w:ascii="Times New Roman" w:hAnsi="Times New Roman"/>
          <w:i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 (ε=4…10÷12 %) - область немонотонного изменения  параметров субструктуры. Такое пов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дение связывали с растущей ролью деструкционных процессов. Качественным и количес</w:t>
      </w:r>
      <w:r>
        <w:rPr>
          <w:rFonts w:ascii="Times New Roman" w:hAnsi="Times New Roman"/>
          <w:sz w:val="24"/>
          <w:szCs w:val="24"/>
        </w:rPr>
        <w:t>т</w:t>
      </w:r>
      <w:r>
        <w:rPr>
          <w:rFonts w:ascii="Times New Roman" w:hAnsi="Times New Roman"/>
          <w:sz w:val="24"/>
          <w:szCs w:val="24"/>
        </w:rPr>
        <w:t xml:space="preserve">венным металлографическим анализом фиксировали эволюцию микротрещин (рис.3). </w:t>
      </w:r>
    </w:p>
    <w:p w:rsidR="00F855BB" w:rsidRDefault="000C7EE6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-24130</wp:posOffset>
            </wp:positionH>
            <wp:positionV relativeFrom="paragraph">
              <wp:posOffset>89535</wp:posOffset>
            </wp:positionV>
            <wp:extent cx="3076575" cy="1828800"/>
            <wp:effectExtent l="19050" t="0" r="0" b="0"/>
            <wp:wrapSquare wrapText="bothSides"/>
            <wp:docPr id="18" name="Объект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4071967" cy="2643206"/>
                      <a:chOff x="428596" y="2357430"/>
                      <a:chExt cx="4071967" cy="2643206"/>
                    </a:xfrm>
                  </a:grpSpPr>
                  <a:graphicFrame>
                    <a:nvGraphicFramePr>
                      <a:cNvPr id="29" name="Диаграмма 28"/>
                      <a:cNvGraphicFramePr>
                        <a:graphicFrameLocks/>
                      </a:cNvGraphicFramePr>
                    </a:nvGraphicFramePr>
                    <a:graphic>
                      <a:graphicData uri="http://schemas.openxmlformats.org/drawingml/2006/chart">
                        <c:chart xmlns:c="http://schemas.openxmlformats.org/drawingml/2006/chart" xmlns:r="http://schemas.openxmlformats.org/officeDocument/2006/relationships" r:id="rId14"/>
                      </a:graphicData>
                    </a:graphic>
                    <a:xfrm>
                      <a:off x="428596" y="2357430"/>
                      <a:ext cx="4071967" cy="2643206"/>
                    </a:xfrm>
                  </a:graphicFrame>
                  <a:grpSp>
                    <a:nvGrpSpPr>
                      <a:cNvPr id="34832" name="Группа 37"/>
                      <a:cNvGrpSpPr>
                        <a:grpSpLocks/>
                      </a:cNvGrpSpPr>
                    </a:nvGrpSpPr>
                    <a:grpSpPr bwMode="auto">
                      <a:xfrm>
                        <a:off x="1784350" y="2428875"/>
                        <a:ext cx="1287463" cy="1930400"/>
                        <a:chOff x="1785124" y="2429662"/>
                        <a:chExt cx="1287472" cy="1928826"/>
                      </a:xfrm>
                    </a:grpSpPr>
                    <a:cxnSp>
                      <a:nvCxnSpPr>
                        <a:cNvPr id="33" name="Прямая соединительная линия 32"/>
                        <a:cNvCxnSpPr/>
                      </a:nvCxnSpPr>
                      <a:spPr>
                        <a:xfrm rot="5400000" flipH="1" flipV="1">
                          <a:off x="821505" y="3393281"/>
                          <a:ext cx="1928826" cy="1588"/>
                        </a:xfrm>
                        <a:prstGeom prst="line">
                          <a:avLst/>
                        </a:prstGeom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37" name="Прямая соединительная линия 36"/>
                        <a:cNvCxnSpPr/>
                      </a:nvCxnSpPr>
                      <a:spPr>
                        <a:xfrm rot="5400000" flipH="1" flipV="1">
                          <a:off x="2107389" y="3393281"/>
                          <a:ext cx="1928826" cy="1588"/>
                        </a:xfrm>
                        <a:prstGeom prst="line">
                          <a:avLst/>
                        </a:prstGeom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</a:grpSp>
                </lc:lockedCanvas>
              </a:graphicData>
            </a:graphic>
          </wp:anchor>
        </w:drawing>
      </w:r>
    </w:p>
    <w:p w:rsidR="00F855BB" w:rsidRDefault="00F855BB" w:rsidP="00F855BB">
      <w:pPr>
        <w:widowControl w:val="0"/>
        <w:rPr>
          <w:rFonts w:ascii="Times New Roman" w:hAnsi="Times New Roman"/>
          <w:bCs/>
        </w:rPr>
      </w:pPr>
      <w:r>
        <w:rPr>
          <w:rFonts w:ascii="Times New Roman" w:hAnsi="Times New Roman"/>
          <w:bCs/>
          <w:szCs w:val="24"/>
        </w:rPr>
        <w:t>Рис</w:t>
      </w:r>
      <w:r w:rsidR="003002E5">
        <w:rPr>
          <w:rFonts w:ascii="Times New Roman" w:hAnsi="Times New Roman"/>
          <w:bCs/>
          <w:szCs w:val="24"/>
        </w:rPr>
        <w:t>.</w:t>
      </w:r>
      <w:r>
        <w:rPr>
          <w:rFonts w:ascii="Times New Roman" w:hAnsi="Times New Roman"/>
          <w:bCs/>
          <w:szCs w:val="24"/>
        </w:rPr>
        <w:t xml:space="preserve"> 3  Зависимость среднего размера трещин </w:t>
      </w:r>
      <w:r>
        <w:rPr>
          <w:rFonts w:ascii="Times New Roman" w:hAnsi="Times New Roman"/>
          <w:bCs/>
          <w:i/>
          <w:iCs/>
          <w:szCs w:val="24"/>
          <w:lang w:val="en-US"/>
        </w:rPr>
        <w:t>L</w:t>
      </w:r>
      <w:r>
        <w:rPr>
          <w:rFonts w:ascii="Times New Roman" w:hAnsi="Times New Roman"/>
          <w:bCs/>
          <w:i/>
          <w:iCs/>
          <w:szCs w:val="24"/>
          <w:vertAlign w:val="subscript"/>
        </w:rPr>
        <w:t>ср</w:t>
      </w:r>
      <w:r>
        <w:rPr>
          <w:rFonts w:ascii="Times New Roman" w:hAnsi="Times New Roman"/>
          <w:bCs/>
          <w:i/>
          <w:iCs/>
          <w:szCs w:val="24"/>
        </w:rPr>
        <w:t xml:space="preserve"> </w:t>
      </w:r>
      <w:r>
        <w:rPr>
          <w:rFonts w:ascii="Times New Roman" w:hAnsi="Times New Roman"/>
          <w:bCs/>
          <w:szCs w:val="24"/>
        </w:rPr>
        <w:t xml:space="preserve">и размера зерна феррита </w:t>
      </w:r>
      <w:r>
        <w:rPr>
          <w:rFonts w:ascii="Times New Roman" w:hAnsi="Times New Roman"/>
          <w:bCs/>
          <w:i/>
          <w:iCs/>
          <w:szCs w:val="24"/>
          <w:lang w:val="en-US"/>
        </w:rPr>
        <w:t>D</w:t>
      </w:r>
      <w:r>
        <w:rPr>
          <w:rFonts w:ascii="Times New Roman" w:hAnsi="Times New Roman"/>
          <w:bCs/>
          <w:szCs w:val="24"/>
        </w:rPr>
        <w:t xml:space="preserve"> от степени предвар</w:t>
      </w:r>
      <w:r>
        <w:rPr>
          <w:rFonts w:ascii="Times New Roman" w:hAnsi="Times New Roman"/>
          <w:bCs/>
          <w:szCs w:val="24"/>
        </w:rPr>
        <w:t>и</w:t>
      </w:r>
      <w:r>
        <w:rPr>
          <w:rFonts w:ascii="Times New Roman" w:hAnsi="Times New Roman"/>
          <w:bCs/>
          <w:szCs w:val="24"/>
        </w:rPr>
        <w:t xml:space="preserve">тельной </w:t>
      </w:r>
      <w:r>
        <w:rPr>
          <w:rFonts w:ascii="Times New Roman" w:hAnsi="Times New Roman"/>
          <w:bCs/>
        </w:rPr>
        <w:t xml:space="preserve">деформации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графиках распределения трещин по количеству и размерам также выявили 3 области (рис.4). Их границы отделяли ма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 xml:space="preserve">симумы роста различных групп трещин при их взаимном существовании. Эти границы (для области 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  ε=4 %, области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 ε=10÷12 %) </w:t>
      </w:r>
      <w:r>
        <w:rPr>
          <w:rFonts w:ascii="Times New Roman" w:hAnsi="Times New Roman"/>
          <w:sz w:val="24"/>
          <w:szCs w:val="24"/>
        </w:rPr>
        <w:lastRenderedPageBreak/>
        <w:t>соответствовали переходным диапазонам изменения размера трещин. Для большинства групп трещин размером 5-11 мкм ведущим является слияние соседствующих трещин (перк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ляция) при выполнении концентрационного критерия С.Н. Журкова. </w:t>
      </w:r>
    </w:p>
    <w:p w:rsidR="00F855BB" w:rsidRDefault="00C623A5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0">
            <wp:simplePos x="0" y="0"/>
            <wp:positionH relativeFrom="column">
              <wp:posOffset>-205105</wp:posOffset>
            </wp:positionH>
            <wp:positionV relativeFrom="paragraph">
              <wp:posOffset>1506855</wp:posOffset>
            </wp:positionV>
            <wp:extent cx="3352800" cy="1857375"/>
            <wp:effectExtent l="19050" t="0" r="19050" b="0"/>
            <wp:wrapSquare wrapText="bothSides"/>
            <wp:docPr id="7" name="Диаграмма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anchor>
        </w:drawing>
      </w:r>
      <w:r w:rsidR="00575CDB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3223895</wp:posOffset>
            </wp:positionH>
            <wp:positionV relativeFrom="paragraph">
              <wp:posOffset>1554480</wp:posOffset>
            </wp:positionV>
            <wp:extent cx="3105150" cy="1905000"/>
            <wp:effectExtent l="0" t="0" r="0" b="0"/>
            <wp:wrapSquare wrapText="bothSides"/>
            <wp:docPr id="8" name="Диаграмма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11"/>
                    <pic:cNvPicPr>
                      <a:picLocks noChangeArrowheads="1"/>
                    </pic:cNvPicPr>
                  </pic:nvPicPr>
                  <pic:blipFill>
                    <a:blip r:embed="rId16" cstate="print"/>
                    <a:srcRect l="-1404" t="-3568" r="-1900" b="-13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855BB">
        <w:rPr>
          <w:rFonts w:ascii="Times New Roman" w:hAnsi="Times New Roman"/>
          <w:sz w:val="24"/>
          <w:szCs w:val="24"/>
        </w:rPr>
        <w:t xml:space="preserve">Фиксировали периодическое (почти </w:t>
      </w:r>
      <w:r w:rsidR="00F855BB">
        <w:rPr>
          <w:rFonts w:ascii="Times New Roman" w:hAnsi="Times New Roman"/>
          <w:i/>
          <w:sz w:val="24"/>
          <w:szCs w:val="24"/>
        </w:rPr>
        <w:t>циклическое</w:t>
      </w:r>
      <w:r w:rsidR="00F855BB">
        <w:rPr>
          <w:rFonts w:ascii="Times New Roman" w:hAnsi="Times New Roman"/>
          <w:sz w:val="24"/>
          <w:szCs w:val="24"/>
        </w:rPr>
        <w:t>) согласованное изменение параме</w:t>
      </w:r>
      <w:r w:rsidR="00F855BB">
        <w:rPr>
          <w:rFonts w:ascii="Times New Roman" w:hAnsi="Times New Roman"/>
          <w:sz w:val="24"/>
          <w:szCs w:val="24"/>
        </w:rPr>
        <w:t>т</w:t>
      </w:r>
      <w:r w:rsidR="00F855BB">
        <w:rPr>
          <w:rFonts w:ascii="Times New Roman" w:hAnsi="Times New Roman"/>
          <w:sz w:val="24"/>
          <w:szCs w:val="24"/>
        </w:rPr>
        <w:t xml:space="preserve">ров деградации и деструкции (несколько диапазонов с различной динамикой процессов и их максимумами при ε= 4 и 10…12  %,  рис. 4). Это характерно для параметров, отражающих объемные и локальные микроискажения (плотность дислокаций, микронапряжения, фон ВТ, Д максимум, ДПВ). В области </w:t>
      </w:r>
      <w:r w:rsidR="00F855BB">
        <w:rPr>
          <w:rFonts w:ascii="Times New Roman" w:hAnsi="Times New Roman"/>
          <w:sz w:val="24"/>
          <w:szCs w:val="24"/>
          <w:lang w:val="en-US"/>
        </w:rPr>
        <w:t>I</w:t>
      </w:r>
      <w:r w:rsidR="00F855BB">
        <w:rPr>
          <w:rFonts w:ascii="Times New Roman" w:hAnsi="Times New Roman"/>
          <w:sz w:val="24"/>
          <w:szCs w:val="24"/>
        </w:rPr>
        <w:t xml:space="preserve"> ведущую роль играет их изменение во всем объеме, а в о</w:t>
      </w:r>
      <w:r w:rsidR="00F855BB">
        <w:rPr>
          <w:rFonts w:ascii="Times New Roman" w:hAnsi="Times New Roman"/>
          <w:sz w:val="24"/>
          <w:szCs w:val="24"/>
        </w:rPr>
        <w:t>б</w:t>
      </w:r>
      <w:r w:rsidR="00F855BB">
        <w:rPr>
          <w:rFonts w:ascii="Times New Roman" w:hAnsi="Times New Roman"/>
          <w:sz w:val="24"/>
          <w:szCs w:val="24"/>
        </w:rPr>
        <w:t xml:space="preserve">ласти </w:t>
      </w:r>
      <w:r w:rsidR="00F855BB">
        <w:rPr>
          <w:rFonts w:ascii="Times New Roman" w:hAnsi="Times New Roman"/>
          <w:sz w:val="24"/>
          <w:szCs w:val="24"/>
          <w:lang w:val="en-US"/>
        </w:rPr>
        <w:t>II</w:t>
      </w:r>
      <w:r w:rsidR="00F855BB">
        <w:rPr>
          <w:rFonts w:ascii="Times New Roman" w:hAnsi="Times New Roman"/>
          <w:sz w:val="24"/>
          <w:szCs w:val="24"/>
        </w:rPr>
        <w:t xml:space="preserve"> – к ним активно добавляются растущие микроискажения в ЛЗКН. Высказали гипот</w:t>
      </w:r>
      <w:r w:rsidR="00F855BB">
        <w:rPr>
          <w:rFonts w:ascii="Times New Roman" w:hAnsi="Times New Roman"/>
          <w:sz w:val="24"/>
          <w:szCs w:val="24"/>
        </w:rPr>
        <w:t>е</w:t>
      </w:r>
      <w:r w:rsidR="00F855BB">
        <w:rPr>
          <w:rFonts w:ascii="Times New Roman" w:hAnsi="Times New Roman"/>
          <w:sz w:val="24"/>
          <w:szCs w:val="24"/>
        </w:rPr>
        <w:t xml:space="preserve">зу о роли в этих процессах миграции </w:t>
      </w:r>
      <w:r w:rsidR="00F855BB">
        <w:rPr>
          <w:rFonts w:ascii="Times New Roman" w:hAnsi="Times New Roman"/>
          <w:i/>
          <w:sz w:val="24"/>
          <w:szCs w:val="24"/>
          <w:lang w:val="en-US"/>
        </w:rPr>
        <w:t>C</w:t>
      </w:r>
      <w:r w:rsidR="00F855BB">
        <w:rPr>
          <w:rFonts w:ascii="Times New Roman" w:hAnsi="Times New Roman"/>
          <w:i/>
          <w:sz w:val="24"/>
          <w:szCs w:val="24"/>
        </w:rPr>
        <w:t>,</w:t>
      </w:r>
      <w:r w:rsidR="00F855BB">
        <w:rPr>
          <w:rFonts w:ascii="Times New Roman" w:hAnsi="Times New Roman"/>
          <w:i/>
          <w:sz w:val="24"/>
          <w:szCs w:val="24"/>
          <w:lang w:val="en-US"/>
        </w:rPr>
        <w:t>N</w:t>
      </w:r>
      <w:r w:rsidR="00F855BB">
        <w:rPr>
          <w:rFonts w:ascii="Times New Roman" w:hAnsi="Times New Roman"/>
          <w:sz w:val="24"/>
          <w:szCs w:val="24"/>
        </w:rPr>
        <w:t xml:space="preserve"> к ювенильным поверхностям и изменение их фра</w:t>
      </w:r>
      <w:r w:rsidR="00F855BB">
        <w:rPr>
          <w:rFonts w:ascii="Times New Roman" w:hAnsi="Times New Roman"/>
          <w:sz w:val="24"/>
          <w:szCs w:val="24"/>
        </w:rPr>
        <w:t>к</w:t>
      </w:r>
      <w:r w:rsidR="00F855BB">
        <w:rPr>
          <w:rFonts w:ascii="Times New Roman" w:hAnsi="Times New Roman"/>
          <w:sz w:val="24"/>
          <w:szCs w:val="24"/>
        </w:rPr>
        <w:t>тальной размерности (реализация растворно-осадительного механизма).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</w:p>
    <w:p w:rsidR="00F855BB" w:rsidRPr="000300C9" w:rsidRDefault="00F855BB" w:rsidP="00F855BB">
      <w:pPr>
        <w:widowControl w:val="0"/>
        <w:rPr>
          <w:rFonts w:ascii="Times New Roman" w:hAnsi="Times New Roman"/>
          <w:b/>
          <w:bCs/>
          <w:szCs w:val="24"/>
        </w:rPr>
      </w:pPr>
      <w:r>
        <w:rPr>
          <w:rFonts w:ascii="Times New Roman" w:hAnsi="Times New Roman"/>
          <w:b/>
          <w:bCs/>
          <w:szCs w:val="24"/>
        </w:rPr>
        <w:t xml:space="preserve">                                     </w:t>
      </w:r>
      <w:r w:rsidRPr="000300C9">
        <w:rPr>
          <w:rFonts w:ascii="Times New Roman" w:hAnsi="Times New Roman"/>
          <w:b/>
          <w:bCs/>
          <w:szCs w:val="24"/>
        </w:rPr>
        <w:t xml:space="preserve">а)  </w:t>
      </w:r>
      <w:r>
        <w:rPr>
          <w:rFonts w:ascii="Times New Roman" w:hAnsi="Times New Roman"/>
          <w:b/>
          <w:bCs/>
          <w:szCs w:val="24"/>
        </w:rPr>
        <w:t xml:space="preserve">                                                                                 </w:t>
      </w:r>
      <w:r w:rsidRPr="000300C9">
        <w:rPr>
          <w:rFonts w:ascii="Times New Roman" w:hAnsi="Times New Roman"/>
          <w:b/>
          <w:bCs/>
          <w:szCs w:val="24"/>
        </w:rPr>
        <w:t xml:space="preserve">  б)</w:t>
      </w:r>
    </w:p>
    <w:p w:rsidR="00F855BB" w:rsidRDefault="00F855BB" w:rsidP="00F855BB">
      <w:pPr>
        <w:widowControl w:val="0"/>
        <w:jc w:val="center"/>
        <w:rPr>
          <w:bCs/>
        </w:rPr>
      </w:pPr>
      <w:r>
        <w:rPr>
          <w:rFonts w:ascii="Times New Roman" w:hAnsi="Times New Roman"/>
          <w:bCs/>
          <w:szCs w:val="24"/>
        </w:rPr>
        <w:t>Рис</w:t>
      </w:r>
      <w:r w:rsidR="003002E5">
        <w:rPr>
          <w:rFonts w:ascii="Times New Roman" w:hAnsi="Times New Roman"/>
          <w:bCs/>
          <w:szCs w:val="24"/>
        </w:rPr>
        <w:t>.</w:t>
      </w:r>
      <w:r>
        <w:rPr>
          <w:rFonts w:ascii="Times New Roman" w:hAnsi="Times New Roman"/>
          <w:bCs/>
          <w:szCs w:val="24"/>
        </w:rPr>
        <w:t xml:space="preserve"> 4  Вероятность распределения </w:t>
      </w:r>
      <w:r>
        <w:rPr>
          <w:rFonts w:ascii="Times New Roman" w:hAnsi="Times New Roman"/>
          <w:bCs/>
        </w:rPr>
        <w:t>микротрещин</w:t>
      </w:r>
      <w:r>
        <w:rPr>
          <w:rFonts w:ascii="Times New Roman" w:hAnsi="Times New Roman"/>
          <w:bCs/>
          <w:szCs w:val="24"/>
        </w:rPr>
        <w:t xml:space="preserve"> по размерам (а) и </w:t>
      </w:r>
      <w:r>
        <w:rPr>
          <w:rFonts w:ascii="Times New Roman" w:hAnsi="Times New Roman"/>
          <w:bCs/>
        </w:rPr>
        <w:t>распределение микротрещин по длинам (б) от степени предварительной деформации (сталь 20)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Считали, что в области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 наблюдали совместное действие механизмов деградации и трещинообразования. В терминах кинетической термодинамики Г.П. Гладышева</w:t>
      </w:r>
      <w:r>
        <w:rPr>
          <w:rStyle w:val="af"/>
          <w:rFonts w:ascii="Times New Roman" w:hAnsi="Times New Roman"/>
          <w:sz w:val="24"/>
          <w:szCs w:val="24"/>
        </w:rPr>
        <w:footnoteReference w:id="1"/>
      </w:r>
      <w:r>
        <w:rPr>
          <w:rFonts w:ascii="Times New Roman" w:hAnsi="Times New Roman"/>
          <w:sz w:val="24"/>
          <w:szCs w:val="24"/>
        </w:rPr>
        <w:t xml:space="preserve"> происх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дила «самосборка» стабильных структур в квазиравновесных условиях, отвечающих дости</w:t>
      </w:r>
      <w:r>
        <w:rPr>
          <w:rFonts w:ascii="Times New Roman" w:hAnsi="Times New Roman"/>
          <w:sz w:val="24"/>
          <w:szCs w:val="24"/>
        </w:rPr>
        <w:t>г</w:t>
      </w:r>
      <w:r>
        <w:rPr>
          <w:rFonts w:ascii="Times New Roman" w:hAnsi="Times New Roman"/>
          <w:sz w:val="24"/>
          <w:szCs w:val="24"/>
        </w:rPr>
        <w:t xml:space="preserve">нутому диссипативному состоянию. Перечисленные результаты подтвердили заявленные положения комплексной концепции повреждаемости и позволили разработать </w:t>
      </w:r>
      <w:r w:rsidRPr="00973DBA">
        <w:rPr>
          <w:rFonts w:ascii="Times New Roman" w:hAnsi="Times New Roman"/>
          <w:i/>
          <w:sz w:val="24"/>
          <w:szCs w:val="24"/>
        </w:rPr>
        <w:t>феноменол</w:t>
      </w:r>
      <w:r w:rsidRPr="00973DBA">
        <w:rPr>
          <w:rFonts w:ascii="Times New Roman" w:hAnsi="Times New Roman"/>
          <w:i/>
          <w:sz w:val="24"/>
          <w:szCs w:val="24"/>
        </w:rPr>
        <w:t>о</w:t>
      </w:r>
      <w:r w:rsidRPr="00973DBA">
        <w:rPr>
          <w:rFonts w:ascii="Times New Roman" w:hAnsi="Times New Roman"/>
          <w:i/>
          <w:sz w:val="24"/>
          <w:szCs w:val="24"/>
        </w:rPr>
        <w:t>гическую модель для деформационной повреждаемости</w:t>
      </w:r>
      <w:r>
        <w:rPr>
          <w:rFonts w:ascii="Times New Roman" w:hAnsi="Times New Roman"/>
          <w:sz w:val="24"/>
          <w:szCs w:val="24"/>
        </w:rPr>
        <w:t xml:space="preserve"> в условиях статического нагружения (рис. 5). </w:t>
      </w:r>
    </w:p>
    <w:p w:rsidR="00F855BB" w:rsidRPr="00D5050E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Стабильными структурами, по нашему мнению, являлись упорядоченные дислокац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онные структуры. Это, характерные для деформированных железоуглеродистых сплавов, дислокационные стенки блоков. </w:t>
      </w:r>
      <w:r w:rsidR="00211213">
        <w:rPr>
          <w:rFonts w:ascii="Times New Roman" w:hAnsi="Times New Roman"/>
          <w:sz w:val="24"/>
          <w:szCs w:val="24"/>
        </w:rPr>
        <w:t xml:space="preserve">Данное </w:t>
      </w:r>
      <w:r>
        <w:rPr>
          <w:rFonts w:ascii="Times New Roman" w:hAnsi="Times New Roman"/>
          <w:sz w:val="24"/>
          <w:szCs w:val="24"/>
        </w:rPr>
        <w:t>предположение подтвердил анализ рентгенограф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ческих результатов. На зависимости относительного уширения от степени предварительной деформации (рис.6) выявили два типа процессов, определяющих поведение исследованных сплавов в ходе деформирования. Формирование упорядоченных дислокационных структур типа стенок (блоков) (область 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 и </w:t>
      </w:r>
      <w:r>
        <w:rPr>
          <w:rFonts w:ascii="Times New Roman" w:hAnsi="Times New Roman"/>
          <w:sz w:val="24"/>
          <w:szCs w:val="24"/>
          <w:lang w:val="en-US"/>
        </w:rPr>
        <w:t>III</w:t>
      </w:r>
      <w:r>
        <w:rPr>
          <w:rFonts w:ascii="Times New Roman" w:hAnsi="Times New Roman"/>
          <w:sz w:val="24"/>
          <w:szCs w:val="24"/>
        </w:rPr>
        <w:t xml:space="preserve">) и накопление микронапряжений – область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>. Это док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зывала близость графиков к линиям </w:t>
      </w:r>
      <w:r>
        <w:rPr>
          <w:rFonts w:ascii="Times New Roman" w:hAnsi="Times New Roman"/>
          <w:i/>
          <w:sz w:val="24"/>
          <w:szCs w:val="24"/>
          <w:lang w:val="en-US"/>
        </w:rPr>
        <w:t>cosθ</w:t>
      </w:r>
      <w:r>
        <w:rPr>
          <w:rFonts w:ascii="Times New Roman" w:hAnsi="Times New Roman"/>
          <w:i/>
          <w:sz w:val="24"/>
          <w:szCs w:val="24"/>
          <w:vertAlign w:val="subscript"/>
        </w:rPr>
        <w:t>1</w:t>
      </w:r>
      <w:r>
        <w:rPr>
          <w:rFonts w:ascii="Times New Roman" w:hAnsi="Times New Roman"/>
          <w:i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  <w:lang w:val="en-US"/>
        </w:rPr>
        <w:t>cosθ</w:t>
      </w:r>
      <w:r>
        <w:rPr>
          <w:rFonts w:ascii="Times New Roman" w:hAnsi="Times New Roman"/>
          <w:i/>
          <w:sz w:val="24"/>
          <w:szCs w:val="24"/>
          <w:vertAlign w:val="subscript"/>
        </w:rPr>
        <w:t>2</w:t>
      </w:r>
      <w:r>
        <w:rPr>
          <w:rFonts w:ascii="Times New Roman" w:hAnsi="Times New Roman"/>
          <w:sz w:val="24"/>
          <w:szCs w:val="24"/>
        </w:rPr>
        <w:t xml:space="preserve"> и  </w:t>
      </w:r>
      <w:r>
        <w:rPr>
          <w:rFonts w:ascii="Times New Roman" w:hAnsi="Times New Roman"/>
          <w:i/>
          <w:sz w:val="24"/>
          <w:szCs w:val="24"/>
          <w:lang w:val="en-US"/>
        </w:rPr>
        <w:t>tgθ</w:t>
      </w:r>
      <w:r>
        <w:rPr>
          <w:rFonts w:ascii="Times New Roman" w:hAnsi="Times New Roman"/>
          <w:i/>
          <w:sz w:val="24"/>
          <w:szCs w:val="24"/>
          <w:vertAlign w:val="subscript"/>
        </w:rPr>
        <w:t>2</w:t>
      </w:r>
      <w:r>
        <w:rPr>
          <w:rFonts w:ascii="Times New Roman" w:hAnsi="Times New Roman"/>
          <w:i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  <w:lang w:val="en-US"/>
        </w:rPr>
        <w:t>tgθ</w:t>
      </w:r>
      <w:r>
        <w:rPr>
          <w:rFonts w:ascii="Times New Roman" w:hAnsi="Times New Roman"/>
          <w:i/>
          <w:sz w:val="24"/>
          <w:szCs w:val="24"/>
          <w:vertAlign w:val="subscript"/>
        </w:rPr>
        <w:t>1</w:t>
      </w:r>
      <w:r>
        <w:rPr>
          <w:rFonts w:ascii="Times New Roman" w:hAnsi="Times New Roman"/>
          <w:sz w:val="24"/>
          <w:szCs w:val="24"/>
        </w:rPr>
        <w:t xml:space="preserve">  в областях 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III</w:t>
      </w:r>
      <w:r>
        <w:rPr>
          <w:rFonts w:ascii="Times New Roman" w:hAnsi="Times New Roman"/>
          <w:sz w:val="24"/>
          <w:szCs w:val="24"/>
        </w:rPr>
        <w:t>, соответстве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но.</w:t>
      </w:r>
      <w:r w:rsidR="0012281A">
        <w:rPr>
          <w:rFonts w:ascii="Times New Roman" w:hAnsi="Times New Roman"/>
          <w:sz w:val="24"/>
          <w:szCs w:val="24"/>
        </w:rPr>
        <w:t xml:space="preserve"> </w:t>
      </w:r>
      <w:r w:rsidR="00211213">
        <w:rPr>
          <w:rFonts w:ascii="Times New Roman" w:hAnsi="Times New Roman"/>
          <w:sz w:val="24"/>
          <w:szCs w:val="24"/>
        </w:rPr>
        <w:t>Указанную</w:t>
      </w:r>
      <w:r>
        <w:rPr>
          <w:rFonts w:ascii="Times New Roman" w:hAnsi="Times New Roman"/>
          <w:sz w:val="24"/>
          <w:szCs w:val="24"/>
        </w:rPr>
        <w:t xml:space="preserve"> последовательность процессов подтвердили результаты УЗД (рис.7). В </w:t>
      </w:r>
      <w:r>
        <w:rPr>
          <w:rFonts w:ascii="Times New Roman" w:hAnsi="Times New Roman"/>
          <w:i/>
          <w:sz w:val="24"/>
          <w:szCs w:val="24"/>
        </w:rPr>
        <w:t>о</w:t>
      </w:r>
      <w:r>
        <w:rPr>
          <w:rFonts w:ascii="Times New Roman" w:hAnsi="Times New Roman"/>
          <w:i/>
          <w:sz w:val="24"/>
          <w:szCs w:val="24"/>
        </w:rPr>
        <w:t>б</w:t>
      </w:r>
      <w:r>
        <w:rPr>
          <w:rFonts w:ascii="Times New Roman" w:hAnsi="Times New Roman"/>
          <w:i/>
          <w:sz w:val="24"/>
          <w:szCs w:val="24"/>
        </w:rPr>
        <w:t xml:space="preserve">ласти </w:t>
      </w:r>
      <w:r>
        <w:rPr>
          <w:rFonts w:ascii="Times New Roman" w:hAnsi="Times New Roman"/>
          <w:i/>
          <w:sz w:val="24"/>
          <w:szCs w:val="24"/>
          <w:lang w:val="en-US"/>
        </w:rPr>
        <w:t>III</w:t>
      </w:r>
      <w:r>
        <w:rPr>
          <w:rFonts w:ascii="Times New Roman" w:hAnsi="Times New Roman"/>
          <w:sz w:val="24"/>
          <w:szCs w:val="24"/>
        </w:rPr>
        <w:t xml:space="preserve"> достигнутый высокий уровень объемных микроискажений стабилизируется. Кол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чество трещин уменьшается, растет их размер (до 11-15 мкм, что соизмеримо с размером зерна феррита). В </w:t>
      </w:r>
      <w:r>
        <w:rPr>
          <w:rFonts w:ascii="Times New Roman" w:hAnsi="Times New Roman"/>
          <w:i/>
          <w:sz w:val="24"/>
          <w:szCs w:val="24"/>
        </w:rPr>
        <w:t xml:space="preserve">области </w:t>
      </w:r>
      <w:r>
        <w:rPr>
          <w:rFonts w:ascii="Times New Roman" w:hAnsi="Times New Roman"/>
          <w:i/>
          <w:sz w:val="24"/>
          <w:szCs w:val="24"/>
          <w:lang w:val="en-US"/>
        </w:rPr>
        <w:t>III</w:t>
      </w:r>
      <w:r>
        <w:rPr>
          <w:rFonts w:ascii="Times New Roman" w:hAnsi="Times New Roman"/>
          <w:sz w:val="24"/>
          <w:szCs w:val="24"/>
        </w:rPr>
        <w:t xml:space="preserve"> формируется трехосное напряженное состояния в шейке. П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вреждаемость переходит на макроскопический уровень.</w:t>
      </w:r>
    </w:p>
    <w:p w:rsidR="0012281A" w:rsidRDefault="0012281A" w:rsidP="0012281A">
      <w:pPr>
        <w:widowControl w:val="0"/>
        <w:suppressLineNumbers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Выявили соответствие описанной последовательность развития повреждаемости м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делям И.А. Одинга, Ю.П. Либерова, Л.М. Рыбаковой, Л.Р. Ботвиной. Диапазоны пластич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ской, пластико-деструкционной и деструкционной стадий (Л.М.Рыбакова) и стадий М, 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lastRenderedPageBreak/>
        <w:t>III</w:t>
      </w:r>
      <w:r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  <w:lang w:val="en-US"/>
        </w:rPr>
        <w:t>B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 xml:space="preserve">) (Л.Р.Ботвина) близки зафиксированным нами. Особенно это касалось областей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 и </w:t>
      </w:r>
      <w:r>
        <w:rPr>
          <w:rFonts w:ascii="Times New Roman" w:hAnsi="Times New Roman"/>
          <w:sz w:val="24"/>
          <w:szCs w:val="24"/>
          <w:lang w:val="en-US"/>
        </w:rPr>
        <w:t>III</w:t>
      </w:r>
      <w:r>
        <w:rPr>
          <w:rFonts w:ascii="Times New Roman" w:hAnsi="Times New Roman"/>
          <w:sz w:val="24"/>
          <w:szCs w:val="24"/>
        </w:rPr>
        <w:t xml:space="preserve">. В указанных моделях масштабно представлена роль трещинообразования, но не столь подробно анализируются деградационные процессы и их синергизм с деструкцией.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object w:dxaOrig="4956" w:dyaOrig="37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1.4pt;height:267.6pt" o:ole="">
            <v:imagedata r:id="rId17" o:title=""/>
          </v:shape>
          <o:OLEObject Type="Embed" ProgID="PowerPoint.Slide.12" ShapeID="_x0000_i1025" DrawAspect="Content" ObjectID="_1410347261" r:id="rId18"/>
        </w:object>
      </w:r>
    </w:p>
    <w:p w:rsidR="00F855BB" w:rsidRDefault="00F855BB" w:rsidP="00F855BB">
      <w:pPr>
        <w:widowControl w:val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Рис</w:t>
      </w:r>
      <w:r w:rsidR="003002E5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5  Феноменологическая модель деформационной повреждаемости </w:t>
      </w:r>
    </w:p>
    <w:p w:rsidR="00F855BB" w:rsidRDefault="00F855BB" w:rsidP="00F855BB">
      <w:pPr>
        <w:widowControl w:val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железоуглеродистых сплавов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Cs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3471545</wp:posOffset>
            </wp:positionH>
            <wp:positionV relativeFrom="paragraph">
              <wp:posOffset>33655</wp:posOffset>
            </wp:positionV>
            <wp:extent cx="2647950" cy="1724025"/>
            <wp:effectExtent l="0" t="0" r="0" b="0"/>
            <wp:wrapSquare wrapText="bothSides"/>
            <wp:docPr id="2" name="Диаграмма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anchor>
        </w:drawing>
      </w:r>
    </w:p>
    <w:p w:rsidR="0012281A" w:rsidRDefault="00F855BB" w:rsidP="00F855BB">
      <w:pPr>
        <w:widowControl w:val="0"/>
        <w:jc w:val="both"/>
        <w:rPr>
          <w:rFonts w:ascii="Times New Roman" w:hAnsi="Times New Roman"/>
          <w:bCs/>
          <w:szCs w:val="24"/>
        </w:rPr>
      </w:pPr>
      <w:r>
        <w:rPr>
          <w:rFonts w:ascii="Times New Roman" w:hAnsi="Times New Roman"/>
          <w:bCs/>
          <w:szCs w:val="24"/>
        </w:rPr>
        <w:t xml:space="preserve">     Рис</w:t>
      </w:r>
      <w:r w:rsidR="003002E5">
        <w:rPr>
          <w:rFonts w:ascii="Times New Roman" w:hAnsi="Times New Roman"/>
          <w:bCs/>
          <w:szCs w:val="24"/>
        </w:rPr>
        <w:t>.</w:t>
      </w:r>
      <w:r>
        <w:rPr>
          <w:rFonts w:ascii="Times New Roman" w:hAnsi="Times New Roman"/>
          <w:bCs/>
          <w:szCs w:val="24"/>
        </w:rPr>
        <w:t xml:space="preserve"> 6</w:t>
      </w:r>
      <w:r w:rsidR="00932F27">
        <w:rPr>
          <w:rFonts w:ascii="Times New Roman" w:hAnsi="Times New Roman"/>
          <w:bCs/>
          <w:szCs w:val="24"/>
        </w:rPr>
        <w:t xml:space="preserve"> </w:t>
      </w:r>
      <w:r>
        <w:rPr>
          <w:rFonts w:ascii="Times New Roman" w:hAnsi="Times New Roman"/>
          <w:bCs/>
          <w:szCs w:val="24"/>
        </w:rPr>
        <w:t xml:space="preserve"> Влияние размера ОКР (блоков) и микроиск</w:t>
      </w:r>
      <w:r>
        <w:rPr>
          <w:rFonts w:ascii="Times New Roman" w:hAnsi="Times New Roman"/>
          <w:bCs/>
          <w:szCs w:val="24"/>
        </w:rPr>
        <w:t>а</w:t>
      </w:r>
      <w:r>
        <w:rPr>
          <w:rFonts w:ascii="Times New Roman" w:hAnsi="Times New Roman"/>
          <w:bCs/>
          <w:szCs w:val="24"/>
        </w:rPr>
        <w:t xml:space="preserve">жений деформированной стали 20 на относительное физическое уширение </w:t>
      </w:r>
    </w:p>
    <w:p w:rsidR="0012281A" w:rsidRDefault="0012281A" w:rsidP="00F855BB">
      <w:pPr>
        <w:widowControl w:val="0"/>
        <w:jc w:val="both"/>
        <w:rPr>
          <w:rFonts w:ascii="Times New Roman" w:hAnsi="Times New Roman"/>
          <w:bCs/>
          <w:szCs w:val="24"/>
        </w:rPr>
      </w:pPr>
    </w:p>
    <w:p w:rsidR="00F855BB" w:rsidRDefault="0012281A" w:rsidP="00F855BB">
      <w:pPr>
        <w:widowControl w:val="0"/>
        <w:jc w:val="both"/>
        <w:rPr>
          <w:rFonts w:ascii="Times New Roman" w:hAnsi="Times New Roman"/>
          <w:bCs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3034665</wp:posOffset>
            </wp:positionH>
            <wp:positionV relativeFrom="paragraph">
              <wp:posOffset>1117600</wp:posOffset>
            </wp:positionV>
            <wp:extent cx="3203575" cy="1706880"/>
            <wp:effectExtent l="0" t="0" r="0" b="0"/>
            <wp:wrapSquare wrapText="bothSides"/>
            <wp:docPr id="21" name="Диаграмма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5"/>
                    <pic:cNvPicPr>
                      <a:picLocks noChangeArrowheads="1"/>
                    </pic:cNvPicPr>
                  </pic:nvPicPr>
                  <pic:blipFill>
                    <a:blip r:embed="rId20" cstate="print"/>
                    <a:srcRect l="-2065" t="-3734" r="-2808" b="-1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3575" cy="170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t xml:space="preserve">      Согласно представлениям С.Н. Журкова, В.С. Куксенко, Л.Р. Ботвиной, считали, что в результате кинетических термофлуктуационных явлений во</w:t>
      </w:r>
      <w:r>
        <w:rPr>
          <w:rFonts w:ascii="Times New Roman" w:hAnsi="Times New Roman"/>
          <w:sz w:val="24"/>
          <w:szCs w:val="24"/>
        </w:rPr>
        <w:t>з</w:t>
      </w:r>
      <w:r>
        <w:rPr>
          <w:rFonts w:ascii="Times New Roman" w:hAnsi="Times New Roman"/>
          <w:sz w:val="24"/>
          <w:szCs w:val="24"/>
        </w:rPr>
        <w:t>никает большое количество субмикротрещин, к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торые, взаимодействуя между собой и объедин</w:t>
      </w:r>
      <w:r>
        <w:rPr>
          <w:rFonts w:ascii="Times New Roman" w:hAnsi="Times New Roman"/>
          <w:sz w:val="24"/>
          <w:szCs w:val="24"/>
        </w:rPr>
        <w:t>я</w:t>
      </w:r>
      <w:r>
        <w:rPr>
          <w:rFonts w:ascii="Times New Roman" w:hAnsi="Times New Roman"/>
          <w:sz w:val="24"/>
          <w:szCs w:val="24"/>
        </w:rPr>
        <w:t>ясь, образуют микротрещины.</w:t>
      </w:r>
      <w:r w:rsidRPr="0012281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Переход к локал</w:t>
      </w:r>
      <w:r>
        <w:rPr>
          <w:rFonts w:ascii="Times New Roman" w:hAnsi="Times New Roman"/>
          <w:sz w:val="24"/>
          <w:szCs w:val="24"/>
        </w:rPr>
        <w:t>ь</w:t>
      </w:r>
      <w:r>
        <w:rPr>
          <w:rFonts w:ascii="Times New Roman" w:hAnsi="Times New Roman"/>
          <w:sz w:val="24"/>
          <w:szCs w:val="24"/>
        </w:rPr>
        <w:t xml:space="preserve">ному разрушению (область </w:t>
      </w:r>
      <w:r>
        <w:rPr>
          <w:rFonts w:ascii="Times New Roman" w:hAnsi="Times New Roman"/>
          <w:sz w:val="24"/>
          <w:szCs w:val="24"/>
          <w:lang w:val="en-US"/>
        </w:rPr>
        <w:t>III</w:t>
      </w:r>
      <w:r>
        <w:rPr>
          <w:rFonts w:ascii="Times New Roman" w:hAnsi="Times New Roman"/>
          <w:sz w:val="24"/>
          <w:szCs w:val="24"/>
        </w:rPr>
        <w:t>) происходит при достижении пороговой концентрации микротрещин: выполнении концентрацио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 xml:space="preserve">ного критерия С.Н. Журкова:   </w:t>
      </w:r>
      <w:r>
        <w:rPr>
          <w:rFonts w:ascii="Times New Roman" w:hAnsi="Times New Roman"/>
          <w:i/>
          <w:sz w:val="24"/>
          <w:szCs w:val="24"/>
        </w:rPr>
        <w:t>К</w:t>
      </w:r>
      <w:r>
        <w:rPr>
          <w:rFonts w:ascii="Times New Roman" w:hAnsi="Times New Roman"/>
          <w:i/>
          <w:sz w:val="24"/>
          <w:szCs w:val="24"/>
          <w:vertAlign w:val="subscript"/>
        </w:rPr>
        <w:t>кр</w:t>
      </w:r>
      <w:r>
        <w:rPr>
          <w:rFonts w:ascii="Times New Roman" w:hAnsi="Times New Roman"/>
          <w:i/>
          <w:sz w:val="24"/>
          <w:szCs w:val="24"/>
        </w:rPr>
        <w:t>=</w:t>
      </w:r>
      <w:r>
        <w:rPr>
          <w:rFonts w:ascii="Times New Roman" w:hAnsi="Times New Roman"/>
          <w:i/>
          <w:sz w:val="24"/>
          <w:szCs w:val="24"/>
          <w:lang w:val="en-US"/>
        </w:rPr>
        <w:t>R</w:t>
      </w:r>
      <w:r>
        <w:rPr>
          <w:rFonts w:ascii="Times New Roman" w:hAnsi="Times New Roman"/>
          <w:i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  <w:lang w:val="en-US"/>
        </w:rPr>
        <w:t>L</w:t>
      </w:r>
      <w:r>
        <w:rPr>
          <w:rFonts w:ascii="Times New Roman" w:hAnsi="Times New Roman"/>
          <w:sz w:val="24"/>
          <w:szCs w:val="24"/>
        </w:rPr>
        <w:t>, (</w:t>
      </w:r>
      <w:r>
        <w:rPr>
          <w:rFonts w:ascii="Times New Roman" w:hAnsi="Times New Roman"/>
          <w:i/>
          <w:sz w:val="24"/>
          <w:szCs w:val="24"/>
          <w:lang w:val="en-US"/>
        </w:rPr>
        <w:t>R</w:t>
      </w:r>
      <w:r>
        <w:rPr>
          <w:rFonts w:ascii="Times New Roman" w:hAnsi="Times New Roman"/>
          <w:sz w:val="24"/>
          <w:szCs w:val="24"/>
        </w:rPr>
        <w:t xml:space="preserve"> – среднее расстояние между трещинами в объеме, </w:t>
      </w:r>
      <w:r>
        <w:rPr>
          <w:rFonts w:ascii="Times New Roman" w:hAnsi="Times New Roman"/>
          <w:i/>
          <w:sz w:val="24"/>
          <w:szCs w:val="24"/>
          <w:lang w:val="en-US"/>
        </w:rPr>
        <w:t>L</w:t>
      </w:r>
      <w:r>
        <w:rPr>
          <w:rFonts w:ascii="Times New Roman" w:hAnsi="Times New Roman"/>
          <w:sz w:val="24"/>
          <w:szCs w:val="24"/>
        </w:rPr>
        <w:t xml:space="preserve"> – их средняя длина в этом объ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ме).</w:t>
      </w:r>
    </w:p>
    <w:p w:rsidR="00F855BB" w:rsidRDefault="00F855BB" w:rsidP="00EF699E">
      <w:pPr>
        <w:widowControl w:val="0"/>
        <w:ind w:firstLine="709"/>
        <w:jc w:val="both"/>
        <w:rPr>
          <w:rFonts w:ascii="Times New Roman" w:hAnsi="Times New Roman"/>
          <w:bCs/>
          <w:szCs w:val="24"/>
        </w:rPr>
      </w:pPr>
      <w:r>
        <w:rPr>
          <w:rFonts w:ascii="Times New Roman" w:hAnsi="Times New Roman"/>
          <w:bCs/>
          <w:szCs w:val="24"/>
        </w:rPr>
        <w:t>Рис</w:t>
      </w:r>
      <w:r w:rsidR="003002E5">
        <w:rPr>
          <w:rFonts w:ascii="Times New Roman" w:hAnsi="Times New Roman"/>
          <w:bCs/>
          <w:szCs w:val="24"/>
        </w:rPr>
        <w:t>.</w:t>
      </w:r>
      <w:r>
        <w:rPr>
          <w:rFonts w:ascii="Times New Roman" w:hAnsi="Times New Roman"/>
          <w:bCs/>
          <w:szCs w:val="24"/>
        </w:rPr>
        <w:t xml:space="preserve"> 7 Зависимость среднего квадрати</w:t>
      </w:r>
      <w:r>
        <w:rPr>
          <w:rFonts w:ascii="Times New Roman" w:hAnsi="Times New Roman"/>
          <w:bCs/>
          <w:szCs w:val="24"/>
        </w:rPr>
        <w:t>ч</w:t>
      </w:r>
      <w:r>
        <w:rPr>
          <w:rFonts w:ascii="Times New Roman" w:hAnsi="Times New Roman"/>
          <w:bCs/>
          <w:szCs w:val="24"/>
        </w:rPr>
        <w:t>ного отклонение амплитуды УЗ сигнала от предварительной деформации (сталь 20)</w:t>
      </w:r>
    </w:p>
    <w:p w:rsidR="00EF699E" w:rsidRDefault="00EF699E" w:rsidP="00F855BB">
      <w:pPr>
        <w:widowControl w:val="0"/>
        <w:suppressLineNumbers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2281A" w:rsidRDefault="00F855BB" w:rsidP="0012281A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Определили </w:t>
      </w:r>
      <w:r w:rsidRPr="000C308B">
        <w:rPr>
          <w:rFonts w:ascii="Times New Roman" w:hAnsi="Times New Roman"/>
          <w:i/>
          <w:sz w:val="24"/>
          <w:szCs w:val="24"/>
        </w:rPr>
        <w:t>критический размер зародыша разрушения</w:t>
      </w:r>
      <w:r>
        <w:rPr>
          <w:rFonts w:ascii="Times New Roman" w:hAnsi="Times New Roman"/>
          <w:sz w:val="24"/>
          <w:szCs w:val="24"/>
        </w:rPr>
        <w:t xml:space="preserve"> (активной трещины, спосо</w:t>
      </w:r>
      <w:r>
        <w:rPr>
          <w:rFonts w:ascii="Times New Roman" w:hAnsi="Times New Roman"/>
          <w:sz w:val="24"/>
          <w:szCs w:val="24"/>
        </w:rPr>
        <w:t>б</w:t>
      </w:r>
      <w:r>
        <w:rPr>
          <w:rFonts w:ascii="Times New Roman" w:hAnsi="Times New Roman"/>
          <w:sz w:val="24"/>
          <w:szCs w:val="24"/>
        </w:rPr>
        <w:t>ной к переходу на следующий масштабный уровень). Используя представления Гриффитса-Орована строили график зависимости приложенного напряжения от критического размера зародыша (рис.8). Оценку граничных значений микротрещин, отделяющих различные ма</w:t>
      </w: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штабные уровни развития, вели с использованием порогового критерия С.Н. Журкова:</w:t>
      </w:r>
      <w:r>
        <w:rPr>
          <w:rFonts w:ascii="Times New Roman" w:hAnsi="Times New Roman"/>
          <w:i/>
          <w:iCs/>
          <w:sz w:val="24"/>
          <w:szCs w:val="24"/>
        </w:rPr>
        <w:t xml:space="preserve">  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K</w:t>
      </w:r>
      <w:r>
        <w:rPr>
          <w:rFonts w:ascii="Times New Roman" w:hAnsi="Times New Roman"/>
          <w:i/>
          <w:iCs/>
          <w:sz w:val="24"/>
          <w:szCs w:val="24"/>
          <w:vertAlign w:val="subscript"/>
        </w:rPr>
        <w:t>кр</w:t>
      </w:r>
      <w:r>
        <w:rPr>
          <w:rFonts w:ascii="Times New Roman" w:hAnsi="Times New Roman"/>
          <w:i/>
          <w:iCs/>
          <w:sz w:val="24"/>
          <w:szCs w:val="24"/>
        </w:rPr>
        <w:t>=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l</w:t>
      </w:r>
      <w:r>
        <w:rPr>
          <w:rFonts w:ascii="Times New Roman" w:hAnsi="Times New Roman"/>
          <w:i/>
          <w:iCs/>
          <w:sz w:val="24"/>
          <w:szCs w:val="24"/>
          <w:vertAlign w:val="subscript"/>
          <w:lang w:val="en-US"/>
        </w:rPr>
        <w:t>i</w:t>
      </w:r>
      <w:r>
        <w:rPr>
          <w:rFonts w:ascii="Times New Roman" w:hAnsi="Times New Roman"/>
          <w:i/>
          <w:iCs/>
          <w:sz w:val="24"/>
          <w:szCs w:val="24"/>
          <w:vertAlign w:val="subscript"/>
        </w:rPr>
        <w:t>+1</w:t>
      </w:r>
      <w:r>
        <w:rPr>
          <w:rFonts w:ascii="Times New Roman" w:hAnsi="Times New Roman"/>
          <w:i/>
          <w:iCs/>
          <w:sz w:val="24"/>
          <w:szCs w:val="24"/>
        </w:rPr>
        <w:t>/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l</w:t>
      </w:r>
      <w:r>
        <w:rPr>
          <w:rFonts w:ascii="Times New Roman" w:hAnsi="Times New Roman"/>
          <w:i/>
          <w:iCs/>
          <w:sz w:val="24"/>
          <w:szCs w:val="24"/>
          <w:vertAlign w:val="subscript"/>
          <w:lang w:val="en-US"/>
        </w:rPr>
        <w:t>i</w:t>
      </w:r>
      <w:r>
        <w:rPr>
          <w:rFonts w:ascii="Times New Roman" w:hAnsi="Times New Roman"/>
          <w:i/>
          <w:sz w:val="24"/>
          <w:szCs w:val="24"/>
        </w:rPr>
        <w:t>≈</w:t>
      </w:r>
      <w:r>
        <w:rPr>
          <w:rFonts w:ascii="Times New Roman" w:hAnsi="Times New Roman"/>
          <w:sz w:val="24"/>
          <w:szCs w:val="24"/>
        </w:rPr>
        <w:t>2,6 (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l</w:t>
      </w:r>
      <w:r>
        <w:rPr>
          <w:rFonts w:ascii="Times New Roman" w:hAnsi="Times New Roman"/>
          <w:i/>
          <w:iCs/>
          <w:sz w:val="24"/>
          <w:szCs w:val="24"/>
          <w:vertAlign w:val="subscript"/>
          <w:lang w:val="en-US"/>
        </w:rPr>
        <w:t>i</w:t>
      </w:r>
      <w:r>
        <w:rPr>
          <w:rFonts w:ascii="Times New Roman" w:hAnsi="Times New Roman"/>
          <w:i/>
          <w:iCs/>
          <w:sz w:val="24"/>
          <w:szCs w:val="24"/>
          <w:vertAlign w:val="subscript"/>
        </w:rPr>
        <w:t>+1</w:t>
      </w:r>
      <w:r>
        <w:rPr>
          <w:rFonts w:ascii="Times New Roman" w:hAnsi="Times New Roman"/>
          <w:iCs/>
          <w:sz w:val="24"/>
          <w:szCs w:val="24"/>
          <w:vertAlign w:val="subscript"/>
        </w:rPr>
        <w:t xml:space="preserve"> </w:t>
      </w:r>
      <w:r>
        <w:rPr>
          <w:rFonts w:ascii="Times New Roman" w:hAnsi="Times New Roman"/>
          <w:iCs/>
          <w:sz w:val="24"/>
          <w:szCs w:val="24"/>
        </w:rPr>
        <w:t xml:space="preserve">– длина трещин последующего и предыдущего 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l</w:t>
      </w:r>
      <w:r>
        <w:rPr>
          <w:rFonts w:ascii="Times New Roman" w:hAnsi="Times New Roman"/>
          <w:i/>
          <w:iCs/>
          <w:sz w:val="24"/>
          <w:szCs w:val="24"/>
          <w:vertAlign w:val="subscript"/>
          <w:lang w:val="en-US"/>
        </w:rPr>
        <w:t>i</w:t>
      </w:r>
      <w:r>
        <w:rPr>
          <w:rFonts w:ascii="Times New Roman" w:hAnsi="Times New Roman"/>
          <w:iCs/>
          <w:sz w:val="24"/>
          <w:szCs w:val="24"/>
        </w:rPr>
        <w:t xml:space="preserve"> масштабного уровней).</w:t>
      </w:r>
      <w:r w:rsidR="0012281A" w:rsidRPr="0012281A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12281A">
        <w:rPr>
          <w:rFonts w:ascii="Times New Roman" w:hAnsi="Times New Roman"/>
          <w:sz w:val="24"/>
          <w:szCs w:val="24"/>
        </w:rPr>
        <w:t>Выявили соответствие этому критерию трещин размерами: 2 и 5 мкм (</w:t>
      </w:r>
      <w:r w:rsidR="0012281A">
        <w:rPr>
          <w:rFonts w:ascii="Times New Roman" w:hAnsi="Times New Roman"/>
          <w:i/>
          <w:sz w:val="24"/>
          <w:szCs w:val="24"/>
        </w:rPr>
        <w:t>К</w:t>
      </w:r>
      <w:r w:rsidR="0012281A">
        <w:rPr>
          <w:rFonts w:ascii="Times New Roman" w:hAnsi="Times New Roman"/>
          <w:i/>
          <w:sz w:val="24"/>
          <w:szCs w:val="24"/>
          <w:vertAlign w:val="subscript"/>
        </w:rPr>
        <w:t>кр</w:t>
      </w:r>
      <w:r w:rsidR="0012281A">
        <w:rPr>
          <w:rFonts w:ascii="Times New Roman" w:hAnsi="Times New Roman"/>
          <w:sz w:val="24"/>
          <w:szCs w:val="24"/>
        </w:rPr>
        <w:t>=2,6), 5 и 9 мкм (</w:t>
      </w:r>
      <w:r w:rsidR="0012281A">
        <w:rPr>
          <w:rFonts w:ascii="Times New Roman" w:hAnsi="Times New Roman"/>
          <w:i/>
          <w:sz w:val="24"/>
          <w:szCs w:val="24"/>
        </w:rPr>
        <w:t>К</w:t>
      </w:r>
      <w:r w:rsidR="0012281A">
        <w:rPr>
          <w:rFonts w:ascii="Times New Roman" w:hAnsi="Times New Roman"/>
          <w:i/>
          <w:sz w:val="24"/>
          <w:szCs w:val="24"/>
          <w:vertAlign w:val="subscript"/>
        </w:rPr>
        <w:t>кр</w:t>
      </w:r>
      <w:r w:rsidR="0012281A">
        <w:rPr>
          <w:rFonts w:ascii="Times New Roman" w:hAnsi="Times New Roman"/>
          <w:sz w:val="24"/>
          <w:szCs w:val="24"/>
        </w:rPr>
        <w:t xml:space="preserve"> </w:t>
      </w:r>
      <w:r w:rsidR="0012281A">
        <w:rPr>
          <w:rFonts w:ascii="Times New Roman" w:hAnsi="Times New Roman"/>
          <w:sz w:val="24"/>
          <w:szCs w:val="24"/>
        </w:rPr>
        <w:lastRenderedPageBreak/>
        <w:t>=1,8), 9 и 11 мкм (</w:t>
      </w:r>
      <w:r w:rsidR="0012281A">
        <w:rPr>
          <w:rFonts w:ascii="Times New Roman" w:hAnsi="Times New Roman"/>
          <w:i/>
          <w:sz w:val="24"/>
          <w:szCs w:val="24"/>
        </w:rPr>
        <w:t>К</w:t>
      </w:r>
      <w:r w:rsidR="0012281A">
        <w:rPr>
          <w:rFonts w:ascii="Times New Roman" w:hAnsi="Times New Roman"/>
          <w:i/>
          <w:sz w:val="24"/>
          <w:szCs w:val="24"/>
          <w:vertAlign w:val="subscript"/>
        </w:rPr>
        <w:t>кр</w:t>
      </w:r>
      <w:r w:rsidR="0012281A">
        <w:rPr>
          <w:rFonts w:ascii="Times New Roman" w:hAnsi="Times New Roman"/>
          <w:sz w:val="24"/>
          <w:szCs w:val="24"/>
        </w:rPr>
        <w:t xml:space="preserve"> =1,8). Расчет вели для микр</w:t>
      </w:r>
      <w:r w:rsidR="0012281A">
        <w:rPr>
          <w:rFonts w:ascii="Times New Roman" w:hAnsi="Times New Roman"/>
          <w:sz w:val="24"/>
          <w:szCs w:val="24"/>
        </w:rPr>
        <w:t>о</w:t>
      </w:r>
      <w:r w:rsidR="0012281A">
        <w:rPr>
          <w:rFonts w:ascii="Times New Roman" w:hAnsi="Times New Roman"/>
          <w:sz w:val="24"/>
          <w:szCs w:val="24"/>
        </w:rPr>
        <w:t xml:space="preserve">трещин длиной 5 мкм. </w:t>
      </w:r>
    </w:p>
    <w:p w:rsidR="00F855BB" w:rsidRDefault="0012281A" w:rsidP="00F855BB">
      <w:pPr>
        <w:widowControl w:val="0"/>
        <w:suppressLineNumbers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201930</wp:posOffset>
            </wp:positionH>
            <wp:positionV relativeFrom="paragraph">
              <wp:posOffset>-90805</wp:posOffset>
            </wp:positionV>
            <wp:extent cx="2324100" cy="1781175"/>
            <wp:effectExtent l="19050" t="0" r="0" b="0"/>
            <wp:wrapSquare wrapText="bothSides"/>
            <wp:docPr id="1" name="Диаграмма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7"/>
                    <pic:cNvPicPr>
                      <a:picLocks noChangeArrowheads="1"/>
                    </pic:cNvPicPr>
                  </pic:nvPicPr>
                  <pic:blipFill>
                    <a:blip r:embed="rId21" cstate="print"/>
                    <a:srcRect l="-1434" t="-15791" r="-19150" b="-1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855BB" w:rsidRDefault="00F855BB" w:rsidP="0012281A">
      <w:pPr>
        <w:widowControl w:val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bCs/>
          <w:szCs w:val="24"/>
        </w:rPr>
        <w:t>Рис</w:t>
      </w:r>
      <w:r w:rsidR="003002E5">
        <w:rPr>
          <w:rFonts w:ascii="Times New Roman" w:hAnsi="Times New Roman"/>
          <w:bCs/>
          <w:szCs w:val="24"/>
        </w:rPr>
        <w:t>.</w:t>
      </w:r>
      <w:r w:rsidR="00932F27">
        <w:rPr>
          <w:rFonts w:ascii="Times New Roman" w:hAnsi="Times New Roman"/>
          <w:bCs/>
          <w:szCs w:val="24"/>
        </w:rPr>
        <w:t xml:space="preserve"> 8 </w:t>
      </w:r>
      <w:r>
        <w:rPr>
          <w:rFonts w:ascii="Times New Roman" w:hAnsi="Times New Roman"/>
          <w:bCs/>
          <w:szCs w:val="24"/>
        </w:rPr>
        <w:t xml:space="preserve"> Зависимость напряжения от критического размера микротрещины (по Гриффитсу - Оровану)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Используя теорию Гриффитса-Орована (</w:t>
      </w:r>
      <w:r>
        <w:rPr>
          <w:rFonts w:ascii="Times New Roman" w:hAnsi="Times New Roman"/>
          <w:bCs/>
          <w:i/>
          <w:iCs/>
          <w:sz w:val="28"/>
          <w:szCs w:val="28"/>
        </w:rPr>
        <w:t>σ</w:t>
      </w:r>
      <w:r>
        <w:rPr>
          <w:rFonts w:ascii="Times New Roman" w:hAnsi="Times New Roman"/>
          <w:bCs/>
          <w:i/>
          <w:iCs/>
          <w:sz w:val="28"/>
          <w:szCs w:val="28"/>
          <w:vertAlign w:val="subscript"/>
        </w:rPr>
        <w:t>н</w:t>
      </w:r>
      <w:r>
        <w:rPr>
          <w:rFonts w:ascii="Times New Roman" w:hAnsi="Times New Roman"/>
          <w:bCs/>
          <w:i/>
          <w:iCs/>
          <w:sz w:val="28"/>
          <w:szCs w:val="28"/>
        </w:rPr>
        <w:t xml:space="preserve"> = (</w:t>
      </w:r>
      <w:r>
        <w:rPr>
          <w:rFonts w:ascii="Times New Roman" w:hAnsi="Times New Roman"/>
          <w:bCs/>
          <w:sz w:val="28"/>
          <w:szCs w:val="28"/>
        </w:rPr>
        <w:t>2</w:t>
      </w:r>
      <w:r>
        <w:rPr>
          <w:rFonts w:ascii="Times New Roman" w:hAnsi="Times New Roman"/>
          <w:bCs/>
          <w:i/>
          <w:iCs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bCs/>
          <w:i/>
          <w:iCs/>
          <w:sz w:val="28"/>
          <w:szCs w:val="28"/>
        </w:rPr>
        <w:t>γ</w:t>
      </w:r>
      <w:r>
        <w:rPr>
          <w:rFonts w:ascii="Times New Roman" w:hAnsi="Times New Roman"/>
          <w:bCs/>
          <w:i/>
          <w:iCs/>
          <w:sz w:val="28"/>
          <w:szCs w:val="28"/>
          <w:lang w:val="en-US"/>
        </w:rPr>
        <w:t>E</w:t>
      </w:r>
      <w:r>
        <w:rPr>
          <w:rFonts w:ascii="Times New Roman" w:hAnsi="Times New Roman"/>
          <w:bCs/>
          <w:i/>
          <w:iCs/>
          <w:sz w:val="28"/>
          <w:szCs w:val="28"/>
        </w:rPr>
        <w:t xml:space="preserve">/ </w:t>
      </w:r>
      <w:r>
        <w:rPr>
          <w:rFonts w:ascii="Times New Roman" w:hAnsi="Times New Roman"/>
          <w:bCs/>
          <w:i/>
          <w:iCs/>
          <w:sz w:val="28"/>
          <w:szCs w:val="28"/>
          <w:lang w:val="en-US"/>
        </w:rPr>
        <w:t>π</w:t>
      </w:r>
      <w:r>
        <w:rPr>
          <w:rFonts w:ascii="Times New Roman" w:hAnsi="Times New Roman"/>
          <w:bCs/>
          <w:i/>
          <w:iCs/>
          <w:sz w:val="28"/>
          <w:szCs w:val="28"/>
        </w:rPr>
        <w:t xml:space="preserve"> С</w:t>
      </w:r>
      <w:r>
        <w:rPr>
          <w:rFonts w:ascii="Times New Roman" w:hAnsi="Times New Roman"/>
          <w:bCs/>
          <w:i/>
          <w:iCs/>
          <w:sz w:val="28"/>
          <w:szCs w:val="28"/>
          <w:vertAlign w:val="subscript"/>
        </w:rPr>
        <w:t>кр</w:t>
      </w:r>
      <w:r>
        <w:rPr>
          <w:rFonts w:ascii="Times New Roman" w:hAnsi="Times New Roman"/>
          <w:bCs/>
          <w:i/>
          <w:iCs/>
          <w:sz w:val="28"/>
          <w:szCs w:val="28"/>
        </w:rPr>
        <w:t>)</w:t>
      </w:r>
      <w:r>
        <w:rPr>
          <w:rFonts w:ascii="Times New Roman" w:hAnsi="Times New Roman"/>
          <w:bCs/>
          <w:i/>
          <w:iCs/>
          <w:sz w:val="28"/>
          <w:szCs w:val="28"/>
          <w:vertAlign w:val="superscript"/>
        </w:rPr>
        <w:t>1/2</w:t>
      </w:r>
      <w:r>
        <w:rPr>
          <w:rFonts w:ascii="Times New Roman" w:hAnsi="Times New Roman"/>
          <w:bCs/>
          <w:i/>
          <w:iCs/>
          <w:sz w:val="28"/>
          <w:szCs w:val="28"/>
        </w:rPr>
        <w:t xml:space="preserve">; </w:t>
      </w:r>
      <w:r>
        <w:rPr>
          <w:rFonts w:ascii="Times New Roman" w:hAnsi="Times New Roman"/>
          <w:bCs/>
          <w:i/>
          <w:iCs/>
          <w:sz w:val="24"/>
          <w:szCs w:val="24"/>
        </w:rPr>
        <w:t>σ</w:t>
      </w:r>
      <w:r>
        <w:rPr>
          <w:rFonts w:ascii="Times New Roman" w:hAnsi="Times New Roman"/>
          <w:bCs/>
          <w:i/>
          <w:iCs/>
          <w:sz w:val="24"/>
          <w:szCs w:val="24"/>
          <w:vertAlign w:val="subscript"/>
        </w:rPr>
        <w:t xml:space="preserve">н </w:t>
      </w:r>
      <w:r>
        <w:rPr>
          <w:rFonts w:ascii="Times New Roman" w:hAnsi="Times New Roman"/>
          <w:bCs/>
          <w:i/>
          <w:iCs/>
          <w:sz w:val="24"/>
          <w:szCs w:val="24"/>
        </w:rPr>
        <w:t xml:space="preserve"> - </w:t>
      </w:r>
      <w:r>
        <w:rPr>
          <w:rFonts w:ascii="Times New Roman" w:hAnsi="Times New Roman"/>
          <w:sz w:val="24"/>
          <w:szCs w:val="24"/>
        </w:rPr>
        <w:t xml:space="preserve">приложенное напряжение, МПа; </w:t>
      </w:r>
      <w:r>
        <w:rPr>
          <w:rFonts w:ascii="Times New Roman" w:hAnsi="Times New Roman"/>
          <w:bCs/>
          <w:i/>
          <w:iCs/>
          <w:sz w:val="24"/>
          <w:szCs w:val="24"/>
        </w:rPr>
        <w:t>Е</w:t>
      </w:r>
      <w:r>
        <w:rPr>
          <w:rFonts w:ascii="Times New Roman" w:hAnsi="Times New Roman"/>
          <w:i/>
          <w:iCs/>
          <w:sz w:val="24"/>
          <w:szCs w:val="24"/>
        </w:rPr>
        <w:t xml:space="preserve">  - </w:t>
      </w:r>
      <w:r>
        <w:rPr>
          <w:rFonts w:ascii="Times New Roman" w:hAnsi="Times New Roman"/>
          <w:sz w:val="24"/>
          <w:szCs w:val="24"/>
        </w:rPr>
        <w:t xml:space="preserve">модуль упругости стали, ГПа; </w:t>
      </w:r>
      <w:r>
        <w:rPr>
          <w:rFonts w:ascii="Times New Roman" w:hAnsi="Times New Roman"/>
          <w:bCs/>
          <w:i/>
          <w:iCs/>
          <w:sz w:val="24"/>
          <w:szCs w:val="24"/>
        </w:rPr>
        <w:t>С</w:t>
      </w:r>
      <w:r>
        <w:rPr>
          <w:rFonts w:ascii="Times New Roman" w:hAnsi="Times New Roman"/>
          <w:bCs/>
          <w:i/>
          <w:iCs/>
          <w:sz w:val="24"/>
          <w:szCs w:val="24"/>
          <w:vertAlign w:val="subscript"/>
        </w:rPr>
        <w:t>кр</w:t>
      </w:r>
      <w:r>
        <w:rPr>
          <w:rFonts w:ascii="Times New Roman" w:hAnsi="Times New Roman"/>
          <w:sz w:val="24"/>
          <w:szCs w:val="24"/>
          <w:vertAlign w:val="subscript"/>
        </w:rPr>
        <w:t xml:space="preserve">  </w:t>
      </w:r>
      <w:r>
        <w:rPr>
          <w:rFonts w:ascii="Times New Roman" w:hAnsi="Times New Roman"/>
          <w:bCs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глуб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на микротрещины, мкм; </w:t>
      </w:r>
      <w:r>
        <w:rPr>
          <w:rFonts w:ascii="Times New Roman" w:hAnsi="Times New Roman"/>
          <w:bCs/>
          <w:i/>
          <w:iCs/>
          <w:sz w:val="24"/>
          <w:szCs w:val="24"/>
        </w:rPr>
        <w:t xml:space="preserve">γ </w:t>
      </w:r>
      <w:r>
        <w:rPr>
          <w:rFonts w:ascii="Times New Roman" w:hAnsi="Times New Roman"/>
          <w:sz w:val="24"/>
          <w:szCs w:val="24"/>
        </w:rPr>
        <w:t>– поверхностная энергия, Дж/м</w:t>
      </w:r>
      <w:r>
        <w:rPr>
          <w:rFonts w:ascii="Times New Roman" w:hAnsi="Times New Roman"/>
          <w:sz w:val="24"/>
          <w:szCs w:val="24"/>
          <w:vertAlign w:val="superscript"/>
        </w:rPr>
        <w:t>2</w:t>
      </w:r>
      <w:r>
        <w:rPr>
          <w:rFonts w:ascii="Times New Roman" w:hAnsi="Times New Roman"/>
          <w:bCs/>
          <w:iCs/>
          <w:sz w:val="24"/>
          <w:szCs w:val="24"/>
        </w:rPr>
        <w:t xml:space="preserve">) </w:t>
      </w:r>
      <w:r>
        <w:rPr>
          <w:rFonts w:ascii="Times New Roman" w:hAnsi="Times New Roman"/>
          <w:sz w:val="24"/>
          <w:szCs w:val="24"/>
        </w:rPr>
        <w:t>определили, что для перехода на новый ма</w:t>
      </w: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штабный уровень микротрещин средним размером 5 мкм необходимо приложить напряж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ние ~ 63 МПа. Аналогичные расчеты провели для трещин длиной 9 и 11 мкм. Сопоставление полученных напряжений с диаграммами деформации сталей 20, Ст3, 08Г2С показало, что расчетные  напряжения ниже предела упругости. Это не соответствовало концепции нако</w:t>
      </w:r>
      <w:r>
        <w:rPr>
          <w:rFonts w:ascii="Times New Roman" w:hAnsi="Times New Roman"/>
          <w:sz w:val="24"/>
          <w:szCs w:val="24"/>
        </w:rPr>
        <w:t>п</w:t>
      </w:r>
      <w:r>
        <w:rPr>
          <w:rFonts w:ascii="Times New Roman" w:hAnsi="Times New Roman"/>
          <w:sz w:val="24"/>
          <w:szCs w:val="24"/>
        </w:rPr>
        <w:t>ления повреждений, развивающихся в области пластической деформации.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Замена в расчете величины поверхностной энергии </w:t>
      </w:r>
      <w:r>
        <w:rPr>
          <w:rFonts w:ascii="Times New Roman" w:hAnsi="Times New Roman"/>
          <w:bCs/>
          <w:i/>
          <w:iCs/>
          <w:sz w:val="28"/>
          <w:szCs w:val="28"/>
        </w:rPr>
        <w:t>γ</w:t>
      </w:r>
      <w:r>
        <w:rPr>
          <w:rFonts w:ascii="Times New Roman" w:hAnsi="Times New Roman"/>
          <w:sz w:val="24"/>
          <w:szCs w:val="24"/>
        </w:rPr>
        <w:t xml:space="preserve"> на её эффективное значение</w:t>
      </w:r>
      <w:r>
        <w:rPr>
          <w:rFonts w:ascii="Times New Roman" w:hAnsi="Times New Roman"/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bCs/>
          <w:i/>
          <w:iCs/>
          <w:sz w:val="28"/>
          <w:szCs w:val="28"/>
        </w:rPr>
        <w:t>γ</w:t>
      </w:r>
      <w:r>
        <w:rPr>
          <w:rFonts w:ascii="Times New Roman" w:hAnsi="Times New Roman"/>
          <w:bCs/>
          <w:iCs/>
          <w:sz w:val="28"/>
          <w:szCs w:val="28"/>
          <w:vertAlign w:val="subscript"/>
        </w:rPr>
        <w:t>эф</w:t>
      </w:r>
      <w:r>
        <w:rPr>
          <w:rFonts w:ascii="Times New Roman" w:hAnsi="Times New Roman"/>
          <w:bCs/>
          <w:iCs/>
          <w:sz w:val="24"/>
          <w:szCs w:val="24"/>
        </w:rPr>
        <w:t xml:space="preserve"> по Т. Екобори, позволила получить напряжения, близкие к экспериментально реализующи</w:t>
      </w:r>
      <w:r>
        <w:rPr>
          <w:rFonts w:ascii="Times New Roman" w:hAnsi="Times New Roman"/>
          <w:bCs/>
          <w:iCs/>
          <w:sz w:val="24"/>
          <w:szCs w:val="24"/>
        </w:rPr>
        <w:t>м</w:t>
      </w:r>
      <w:r>
        <w:rPr>
          <w:rFonts w:ascii="Times New Roman" w:hAnsi="Times New Roman"/>
          <w:bCs/>
          <w:iCs/>
          <w:sz w:val="24"/>
          <w:szCs w:val="24"/>
        </w:rPr>
        <w:t>ся: ~250 МПа. Заключили, что подход в рамках теории Гриффитса-Орована, действенен для исследованных сталей только в условиях их хрупкого разрушения. Для их создания испол</w:t>
      </w:r>
      <w:r>
        <w:rPr>
          <w:rFonts w:ascii="Times New Roman" w:hAnsi="Times New Roman"/>
          <w:bCs/>
          <w:iCs/>
          <w:sz w:val="24"/>
          <w:szCs w:val="24"/>
        </w:rPr>
        <w:t>ь</w:t>
      </w:r>
      <w:r>
        <w:rPr>
          <w:rFonts w:ascii="Times New Roman" w:hAnsi="Times New Roman"/>
          <w:bCs/>
          <w:iCs/>
          <w:sz w:val="24"/>
          <w:szCs w:val="24"/>
        </w:rPr>
        <w:t>зовали охрупчивающее влияние водорода.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/>
          <w:bCs/>
          <w:iCs/>
          <w:sz w:val="24"/>
          <w:szCs w:val="24"/>
        </w:rPr>
        <w:t>Четвертая</w:t>
      </w:r>
      <w:r>
        <w:rPr>
          <w:rFonts w:ascii="Times New Roman" w:hAnsi="Times New Roman"/>
          <w:bCs/>
          <w:iCs/>
          <w:sz w:val="24"/>
          <w:szCs w:val="24"/>
        </w:rPr>
        <w:t xml:space="preserve"> глава посвящена исследованию подвижности водорода и его влияния на развитие деградации и деструкции малоуглеродистых сталей 20 и Ст3.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>На ТЗВТ сталей 20 и Ст3 наблюдали неупругие эффекты трех типов: водородный Снука-Кестера (</w:t>
      </w:r>
      <w:r>
        <w:rPr>
          <w:rFonts w:ascii="Times New Roman" w:hAnsi="Times New Roman"/>
          <w:sz w:val="24"/>
          <w:szCs w:val="24"/>
        </w:rPr>
        <w:t>СКн)</w:t>
      </w:r>
      <w:r>
        <w:rPr>
          <w:rFonts w:ascii="Times New Roman" w:hAnsi="Times New Roman"/>
          <w:bCs/>
          <w:iCs/>
          <w:sz w:val="24"/>
          <w:szCs w:val="24"/>
        </w:rPr>
        <w:t>, деструкционный (Д), Снука (Сн). Компьютерный анализ позволил в</w:t>
      </w:r>
      <w:r>
        <w:rPr>
          <w:rFonts w:ascii="Times New Roman" w:hAnsi="Times New Roman"/>
          <w:bCs/>
          <w:iCs/>
          <w:sz w:val="24"/>
          <w:szCs w:val="24"/>
        </w:rPr>
        <w:t>ы</w:t>
      </w:r>
      <w:r>
        <w:rPr>
          <w:rFonts w:ascii="Times New Roman" w:hAnsi="Times New Roman"/>
          <w:bCs/>
          <w:iCs/>
          <w:sz w:val="24"/>
          <w:szCs w:val="24"/>
        </w:rPr>
        <w:t>явить составляющие их унимодальные пики, связанные с диффузией атомарного и молиз</w:t>
      </w:r>
      <w:r>
        <w:rPr>
          <w:rFonts w:ascii="Times New Roman" w:hAnsi="Times New Roman"/>
          <w:bCs/>
          <w:iCs/>
          <w:sz w:val="24"/>
          <w:szCs w:val="24"/>
        </w:rPr>
        <w:t>о</w:t>
      </w:r>
      <w:r>
        <w:rPr>
          <w:rFonts w:ascii="Times New Roman" w:hAnsi="Times New Roman"/>
          <w:bCs/>
          <w:iCs/>
          <w:sz w:val="24"/>
          <w:szCs w:val="24"/>
        </w:rPr>
        <w:t xml:space="preserve">ванного водорода, а также деструкционные пики </w:t>
      </w:r>
      <w:r>
        <w:rPr>
          <w:rFonts w:ascii="Times New Roman" w:hAnsi="Times New Roman"/>
          <w:bCs/>
          <w:i/>
          <w:iCs/>
          <w:sz w:val="24"/>
          <w:szCs w:val="24"/>
          <w:lang w:val="en-US"/>
        </w:rPr>
        <w:t>s</w:t>
      </w:r>
      <w:r>
        <w:rPr>
          <w:rFonts w:ascii="Times New Roman" w:hAnsi="Times New Roman"/>
          <w:bCs/>
          <w:iCs/>
          <w:sz w:val="24"/>
          <w:szCs w:val="24"/>
        </w:rPr>
        <w:t xml:space="preserve"> и </w:t>
      </w:r>
      <w:r>
        <w:rPr>
          <w:rFonts w:ascii="Times New Roman" w:hAnsi="Times New Roman"/>
          <w:bCs/>
          <w:i/>
          <w:iCs/>
          <w:sz w:val="24"/>
          <w:szCs w:val="24"/>
          <w:lang w:val="en-US"/>
        </w:rPr>
        <w:t>e</w:t>
      </w:r>
      <w:r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  <w:r>
        <w:rPr>
          <w:rFonts w:ascii="Times New Roman" w:hAnsi="Times New Roman"/>
          <w:bCs/>
          <w:iCs/>
          <w:sz w:val="24"/>
          <w:szCs w:val="24"/>
        </w:rPr>
        <w:t xml:space="preserve">– типов. </w:t>
      </w:r>
      <w:r>
        <w:rPr>
          <w:rFonts w:ascii="Times New Roman" w:hAnsi="Times New Roman"/>
          <w:sz w:val="24"/>
          <w:szCs w:val="24"/>
        </w:rPr>
        <w:t>В соответствии с исследов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ниями Хуана, Фантоцци и Лорда, компонентами водородного максимума СКн считали пик диффузионной активности атомарного водорода (СКн(а)) и пик, отражающий переориент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цию молекул водорода в поле напряжений дислокации (СКн(м)). Анализ этих пиков позв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лил контролировать диффузионную подвижность атомов водорода, проникающих из эле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тролита и количество водорода, молизовавшегося в коллекторах-ловушках. Составляющие деструкционного максимума (пики Д</w:t>
      </w:r>
      <w:r>
        <w:rPr>
          <w:rFonts w:ascii="Times New Roman" w:hAnsi="Times New Roman"/>
          <w:i/>
          <w:sz w:val="24"/>
          <w:szCs w:val="24"/>
          <w:vertAlign w:val="subscript"/>
          <w:lang w:val="en-US"/>
        </w:rPr>
        <w:t>S</w:t>
      </w:r>
      <w:r>
        <w:rPr>
          <w:rFonts w:ascii="Times New Roman" w:hAnsi="Times New Roman"/>
          <w:sz w:val="24"/>
          <w:szCs w:val="24"/>
        </w:rPr>
        <w:t xml:space="preserve"> и Д</w:t>
      </w:r>
      <w:r>
        <w:rPr>
          <w:rFonts w:ascii="Times New Roman" w:hAnsi="Times New Roman"/>
          <w:i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) отражали уровень напряжений, локализованных в зонах их концентрации (водородные коллекторы под давлением молизованного водорода).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Корреляционный анализ выявил высокую корреляцию высот максимумов водородн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го Снука-Кестера и деструкционного </w:t>
      </w:r>
      <w:r>
        <w:rPr>
          <w:rFonts w:ascii="Times New Roman" w:hAnsi="Times New Roman"/>
          <w:i/>
          <w:sz w:val="24"/>
          <w:szCs w:val="24"/>
          <w:lang w:val="en-US"/>
        </w:rPr>
        <w:t>e</w:t>
      </w:r>
      <w:r>
        <w:rPr>
          <w:rFonts w:ascii="Times New Roman" w:hAnsi="Times New Roman"/>
          <w:sz w:val="24"/>
          <w:szCs w:val="24"/>
        </w:rPr>
        <w:t xml:space="preserve">-типа (средний коэффициент корреляции 0,93).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Фиксировали </w:t>
      </w:r>
      <w:r w:rsidRPr="00B25310">
        <w:rPr>
          <w:rFonts w:ascii="Times New Roman" w:hAnsi="Times New Roman"/>
          <w:i/>
          <w:sz w:val="24"/>
          <w:szCs w:val="24"/>
        </w:rPr>
        <w:t>три области насыщения</w:t>
      </w:r>
      <w:r>
        <w:rPr>
          <w:rFonts w:ascii="Times New Roman" w:hAnsi="Times New Roman"/>
          <w:sz w:val="24"/>
          <w:szCs w:val="24"/>
        </w:rPr>
        <w:t xml:space="preserve"> с различным характером изменением параме</w:t>
      </w:r>
      <w:r>
        <w:rPr>
          <w:rFonts w:ascii="Times New Roman" w:hAnsi="Times New Roman"/>
          <w:sz w:val="24"/>
          <w:szCs w:val="24"/>
        </w:rPr>
        <w:t>т</w:t>
      </w:r>
      <w:r>
        <w:rPr>
          <w:rFonts w:ascii="Times New Roman" w:hAnsi="Times New Roman"/>
          <w:sz w:val="24"/>
          <w:szCs w:val="24"/>
        </w:rPr>
        <w:t>ров (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III</w:t>
      </w:r>
      <w:r>
        <w:rPr>
          <w:rFonts w:ascii="Times New Roman" w:hAnsi="Times New Roman"/>
          <w:sz w:val="24"/>
          <w:szCs w:val="24"/>
        </w:rPr>
        <w:t xml:space="preserve">). Фон ВТ, высоты водородных максимумов Снука-Кестера и деструкционного максимума  росли после наводороживания длительностью от 0 до 15 часов (рис. 9). </w:t>
      </w:r>
      <w:r w:rsidR="00D5050E">
        <w:rPr>
          <w:rFonts w:ascii="Times New Roman" w:hAnsi="Times New Roman"/>
          <w:sz w:val="24"/>
          <w:szCs w:val="24"/>
        </w:rPr>
        <w:t>Это тра</w:t>
      </w:r>
      <w:r w:rsidR="00D5050E">
        <w:rPr>
          <w:rFonts w:ascii="Times New Roman" w:hAnsi="Times New Roman"/>
          <w:sz w:val="24"/>
          <w:szCs w:val="24"/>
        </w:rPr>
        <w:t>к</w:t>
      </w:r>
      <w:r w:rsidR="00D5050E">
        <w:rPr>
          <w:rFonts w:ascii="Times New Roman" w:hAnsi="Times New Roman"/>
          <w:sz w:val="24"/>
          <w:szCs w:val="24"/>
        </w:rPr>
        <w:t>товали как активную диффузию атомарного водорода в объем образца, окклюзию, и акти</w:t>
      </w:r>
      <w:r w:rsidR="00D5050E">
        <w:rPr>
          <w:rFonts w:ascii="Times New Roman" w:hAnsi="Times New Roman"/>
          <w:sz w:val="24"/>
          <w:szCs w:val="24"/>
        </w:rPr>
        <w:t>в</w:t>
      </w:r>
      <w:r w:rsidR="00D5050E">
        <w:rPr>
          <w:rFonts w:ascii="Times New Roman" w:hAnsi="Times New Roman"/>
          <w:sz w:val="24"/>
          <w:szCs w:val="24"/>
        </w:rPr>
        <w:t xml:space="preserve">ную его молизацию в коллекторах (области </w:t>
      </w:r>
      <w:r w:rsidR="00D5050E">
        <w:rPr>
          <w:rFonts w:ascii="Times New Roman" w:hAnsi="Times New Roman"/>
          <w:sz w:val="24"/>
          <w:szCs w:val="24"/>
          <w:lang w:val="en-US"/>
        </w:rPr>
        <w:t>I</w:t>
      </w:r>
      <w:r w:rsidR="00D5050E">
        <w:rPr>
          <w:rFonts w:ascii="Times New Roman" w:hAnsi="Times New Roman"/>
          <w:sz w:val="24"/>
          <w:szCs w:val="24"/>
        </w:rPr>
        <w:t xml:space="preserve">, </w:t>
      </w:r>
      <w:r w:rsidR="00D5050E">
        <w:rPr>
          <w:rFonts w:ascii="Times New Roman" w:hAnsi="Times New Roman"/>
          <w:sz w:val="24"/>
          <w:szCs w:val="24"/>
          <w:lang w:val="en-US"/>
        </w:rPr>
        <w:t>II</w:t>
      </w:r>
      <w:r w:rsidR="00D5050E">
        <w:rPr>
          <w:rFonts w:ascii="Times New Roman" w:hAnsi="Times New Roman"/>
          <w:sz w:val="24"/>
          <w:szCs w:val="24"/>
        </w:rPr>
        <w:t>). Эти процессы вели к росту объемных и л</w:t>
      </w:r>
      <w:r w:rsidR="00D5050E">
        <w:rPr>
          <w:rFonts w:ascii="Times New Roman" w:hAnsi="Times New Roman"/>
          <w:sz w:val="24"/>
          <w:szCs w:val="24"/>
        </w:rPr>
        <w:t>о</w:t>
      </w:r>
      <w:r w:rsidR="00D5050E">
        <w:rPr>
          <w:rFonts w:ascii="Times New Roman" w:hAnsi="Times New Roman"/>
          <w:sz w:val="24"/>
          <w:szCs w:val="24"/>
        </w:rPr>
        <w:t>кальных микронапряжений. После 10-15 ч наводороживания фиксировали снижение дифф</w:t>
      </w:r>
      <w:r w:rsidR="00D5050E">
        <w:rPr>
          <w:rFonts w:ascii="Times New Roman" w:hAnsi="Times New Roman"/>
          <w:sz w:val="24"/>
          <w:szCs w:val="24"/>
        </w:rPr>
        <w:t>у</w:t>
      </w:r>
      <w:r w:rsidR="00D5050E">
        <w:rPr>
          <w:rFonts w:ascii="Times New Roman" w:hAnsi="Times New Roman"/>
          <w:sz w:val="24"/>
          <w:szCs w:val="24"/>
        </w:rPr>
        <w:t>зионной подвижности атомарного водорода и её стабилизацию, свидетельствующую об о</w:t>
      </w:r>
      <w:r w:rsidR="00D5050E">
        <w:rPr>
          <w:rFonts w:ascii="Times New Roman" w:hAnsi="Times New Roman"/>
          <w:sz w:val="24"/>
          <w:szCs w:val="24"/>
        </w:rPr>
        <w:t>с</w:t>
      </w:r>
      <w:r w:rsidR="00D5050E">
        <w:rPr>
          <w:rFonts w:ascii="Times New Roman" w:hAnsi="Times New Roman"/>
          <w:sz w:val="24"/>
          <w:szCs w:val="24"/>
        </w:rPr>
        <w:t xml:space="preserve">ложнении диффузии и окклюзии. Количество молизовавшегося водорода, слабо подрастая, после 15-20 ч насыщения также стабилизировалось. Дальнейшее увеличение длительности наводороживания более 15 ч (область </w:t>
      </w:r>
      <w:r w:rsidR="00D5050E">
        <w:rPr>
          <w:rFonts w:ascii="Times New Roman" w:hAnsi="Times New Roman"/>
          <w:sz w:val="24"/>
          <w:szCs w:val="24"/>
          <w:lang w:val="en-US"/>
        </w:rPr>
        <w:t>III</w:t>
      </w:r>
      <w:r w:rsidR="00D5050E">
        <w:rPr>
          <w:rFonts w:ascii="Times New Roman" w:hAnsi="Times New Roman"/>
          <w:sz w:val="24"/>
          <w:szCs w:val="24"/>
        </w:rPr>
        <w:t>) вело к резкому снижению высоты деструкционного максимума.</w:t>
      </w:r>
      <w:r w:rsidR="0012281A">
        <w:rPr>
          <w:rFonts w:ascii="Times New Roman" w:hAnsi="Times New Roman"/>
          <w:sz w:val="24"/>
          <w:szCs w:val="24"/>
        </w:rPr>
        <w:t xml:space="preserve"> Напряжения в локализованных зонах релаксировали в ходе образования юв</w:t>
      </w:r>
      <w:r w:rsidR="0012281A">
        <w:rPr>
          <w:rFonts w:ascii="Times New Roman" w:hAnsi="Times New Roman"/>
          <w:sz w:val="24"/>
          <w:szCs w:val="24"/>
        </w:rPr>
        <w:t>е</w:t>
      </w:r>
      <w:r w:rsidR="0012281A">
        <w:rPr>
          <w:rFonts w:ascii="Times New Roman" w:hAnsi="Times New Roman"/>
          <w:sz w:val="24"/>
          <w:szCs w:val="24"/>
        </w:rPr>
        <w:t xml:space="preserve">нильных поверхностей. Перечисленные изменения трактовали как процесс </w:t>
      </w:r>
      <w:r w:rsidR="0012281A" w:rsidRPr="00B25310">
        <w:rPr>
          <w:rFonts w:ascii="Times New Roman" w:hAnsi="Times New Roman"/>
          <w:i/>
          <w:sz w:val="24"/>
          <w:szCs w:val="24"/>
        </w:rPr>
        <w:t>подготовки</w:t>
      </w:r>
      <w:r w:rsidR="0012281A">
        <w:rPr>
          <w:rFonts w:ascii="Times New Roman" w:hAnsi="Times New Roman"/>
          <w:sz w:val="24"/>
          <w:szCs w:val="24"/>
        </w:rPr>
        <w:t xml:space="preserve"> (о</w:t>
      </w:r>
      <w:r w:rsidR="0012281A">
        <w:rPr>
          <w:rFonts w:ascii="Times New Roman" w:hAnsi="Times New Roman"/>
          <w:sz w:val="24"/>
          <w:szCs w:val="24"/>
        </w:rPr>
        <w:t>б</w:t>
      </w:r>
      <w:r w:rsidR="0012281A">
        <w:rPr>
          <w:rFonts w:ascii="Times New Roman" w:hAnsi="Times New Roman"/>
          <w:sz w:val="24"/>
          <w:szCs w:val="24"/>
        </w:rPr>
        <w:t xml:space="preserve">ласть </w:t>
      </w:r>
      <w:r w:rsidR="0012281A">
        <w:rPr>
          <w:rFonts w:ascii="Times New Roman" w:hAnsi="Times New Roman"/>
          <w:sz w:val="24"/>
          <w:szCs w:val="24"/>
          <w:lang w:val="en-US"/>
        </w:rPr>
        <w:t>I</w:t>
      </w:r>
      <w:r w:rsidR="0012281A">
        <w:rPr>
          <w:rFonts w:ascii="Times New Roman" w:hAnsi="Times New Roman"/>
          <w:sz w:val="24"/>
          <w:szCs w:val="24"/>
        </w:rPr>
        <w:t xml:space="preserve">), </w:t>
      </w:r>
      <w:r w:rsidR="0012281A" w:rsidRPr="00B25310">
        <w:rPr>
          <w:rFonts w:ascii="Times New Roman" w:hAnsi="Times New Roman"/>
          <w:i/>
          <w:sz w:val="24"/>
          <w:szCs w:val="24"/>
        </w:rPr>
        <w:t>зарождения</w:t>
      </w:r>
      <w:r w:rsidR="0012281A">
        <w:rPr>
          <w:rFonts w:ascii="Times New Roman" w:hAnsi="Times New Roman"/>
          <w:sz w:val="24"/>
          <w:szCs w:val="24"/>
        </w:rPr>
        <w:t xml:space="preserve"> (область </w:t>
      </w:r>
      <w:r w:rsidR="0012281A">
        <w:rPr>
          <w:rFonts w:ascii="Times New Roman" w:hAnsi="Times New Roman"/>
          <w:sz w:val="24"/>
          <w:szCs w:val="24"/>
          <w:lang w:val="en-US"/>
        </w:rPr>
        <w:t>II</w:t>
      </w:r>
      <w:r w:rsidR="0012281A">
        <w:rPr>
          <w:rFonts w:ascii="Times New Roman" w:hAnsi="Times New Roman"/>
          <w:sz w:val="24"/>
          <w:szCs w:val="24"/>
        </w:rPr>
        <w:t xml:space="preserve">) и </w:t>
      </w:r>
      <w:r w:rsidR="0012281A" w:rsidRPr="00B25310">
        <w:rPr>
          <w:rFonts w:ascii="Times New Roman" w:hAnsi="Times New Roman"/>
          <w:i/>
          <w:sz w:val="24"/>
          <w:szCs w:val="24"/>
        </w:rPr>
        <w:t>развития</w:t>
      </w:r>
      <w:r w:rsidR="0012281A">
        <w:rPr>
          <w:rFonts w:ascii="Times New Roman" w:hAnsi="Times New Roman"/>
          <w:sz w:val="24"/>
          <w:szCs w:val="24"/>
        </w:rPr>
        <w:t xml:space="preserve"> (область </w:t>
      </w:r>
      <w:r w:rsidR="0012281A">
        <w:rPr>
          <w:rFonts w:ascii="Times New Roman" w:hAnsi="Times New Roman"/>
          <w:sz w:val="24"/>
          <w:szCs w:val="24"/>
          <w:lang w:val="en-US"/>
        </w:rPr>
        <w:t>III</w:t>
      </w:r>
      <w:r w:rsidR="0012281A">
        <w:rPr>
          <w:rFonts w:ascii="Times New Roman" w:hAnsi="Times New Roman"/>
          <w:sz w:val="24"/>
          <w:szCs w:val="24"/>
        </w:rPr>
        <w:t xml:space="preserve">) </w:t>
      </w:r>
      <w:r w:rsidR="0012281A" w:rsidRPr="00B25310">
        <w:rPr>
          <w:rFonts w:ascii="Times New Roman" w:hAnsi="Times New Roman"/>
          <w:i/>
          <w:sz w:val="24"/>
          <w:szCs w:val="24"/>
        </w:rPr>
        <w:t>водородной повреждаемости</w:t>
      </w:r>
      <w:r w:rsidR="0012281A">
        <w:rPr>
          <w:rFonts w:ascii="Times New Roman" w:hAnsi="Times New Roman"/>
          <w:sz w:val="24"/>
          <w:szCs w:val="24"/>
        </w:rPr>
        <w:t>. З</w:t>
      </w:r>
      <w:r w:rsidR="0012281A">
        <w:rPr>
          <w:rFonts w:ascii="Times New Roman" w:hAnsi="Times New Roman"/>
          <w:sz w:val="24"/>
          <w:szCs w:val="24"/>
        </w:rPr>
        <w:t>а</w:t>
      </w:r>
      <w:r w:rsidR="0012281A">
        <w:rPr>
          <w:rFonts w:ascii="Times New Roman" w:hAnsi="Times New Roman"/>
          <w:sz w:val="24"/>
          <w:szCs w:val="24"/>
        </w:rPr>
        <w:t xml:space="preserve">ключительным его этапом было образование в области </w:t>
      </w:r>
      <w:r w:rsidR="0012281A">
        <w:rPr>
          <w:rFonts w:ascii="Times New Roman" w:hAnsi="Times New Roman"/>
          <w:sz w:val="24"/>
          <w:szCs w:val="24"/>
          <w:lang w:val="en-US"/>
        </w:rPr>
        <w:t>III</w:t>
      </w:r>
      <w:r w:rsidR="0012281A">
        <w:rPr>
          <w:rFonts w:ascii="Times New Roman" w:hAnsi="Times New Roman"/>
          <w:sz w:val="24"/>
          <w:szCs w:val="24"/>
        </w:rPr>
        <w:t xml:space="preserve"> после насыщения в течение 10-15 ч микротрещин в водородных коллекторах.</w:t>
      </w:r>
    </w:p>
    <w:p w:rsidR="00C623A5" w:rsidRDefault="00C623A5" w:rsidP="00D5050E">
      <w:pPr>
        <w:widowControl w:val="0"/>
        <w:jc w:val="both"/>
        <w:rPr>
          <w:rFonts w:ascii="Times New Roman" w:hAnsi="Times New Roman"/>
          <w:b/>
          <w:sz w:val="24"/>
          <w:szCs w:val="24"/>
        </w:rPr>
      </w:pPr>
    </w:p>
    <w:p w:rsidR="00C623A5" w:rsidRDefault="00C623A5" w:rsidP="00D5050E">
      <w:pPr>
        <w:widowControl w:val="0"/>
        <w:jc w:val="both"/>
        <w:rPr>
          <w:rFonts w:ascii="Times New Roman" w:hAnsi="Times New Roman"/>
          <w:b/>
          <w:sz w:val="24"/>
          <w:szCs w:val="24"/>
        </w:rPr>
      </w:pPr>
    </w:p>
    <w:p w:rsidR="00D5050E" w:rsidRDefault="00C623A5" w:rsidP="00D5050E">
      <w:pPr>
        <w:widowControl w:val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</w:t>
      </w:r>
      <w:r w:rsidR="00D5050E">
        <w:rPr>
          <w:rFonts w:ascii="Times New Roman" w:hAnsi="Times New Roman"/>
          <w:b/>
          <w:sz w:val="24"/>
          <w:szCs w:val="24"/>
        </w:rPr>
        <w:t>а)</w:t>
      </w:r>
      <w:r w:rsidR="00D5050E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3115945</wp:posOffset>
            </wp:positionH>
            <wp:positionV relativeFrom="paragraph">
              <wp:posOffset>-110490</wp:posOffset>
            </wp:positionV>
            <wp:extent cx="3169920" cy="1611630"/>
            <wp:effectExtent l="0" t="0" r="0" b="0"/>
            <wp:wrapSquare wrapText="bothSides"/>
            <wp:docPr id="13" name="Диаграмма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14"/>
                    <pic:cNvPicPr>
                      <a:picLocks noChangeArrowheads="1"/>
                    </pic:cNvPicPr>
                  </pic:nvPicPr>
                  <pic:blipFill>
                    <a:blip r:embed="rId22" cstate="print"/>
                    <a:srcRect l="-4706" t="-4131" r="-8081" b="-2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920" cy="1611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5050E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-63500</wp:posOffset>
            </wp:positionV>
            <wp:extent cx="2837815" cy="1611630"/>
            <wp:effectExtent l="0" t="0" r="0" b="0"/>
            <wp:wrapSquare wrapText="bothSides"/>
            <wp:docPr id="12" name="Диаграмма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13"/>
                    <pic:cNvPicPr>
                      <a:picLocks noChangeArrowheads="1"/>
                    </pic:cNvPicPr>
                  </pic:nvPicPr>
                  <pic:blipFill>
                    <a:blip r:embed="rId23" cstate="print"/>
                    <a:srcRect l="-3197" t="-6911" r="-9590" b="-21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1611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855BB">
        <w:rPr>
          <w:rFonts w:ascii="Times New Roman" w:hAnsi="Times New Roman"/>
          <w:b/>
          <w:sz w:val="24"/>
          <w:szCs w:val="24"/>
        </w:rPr>
        <w:t xml:space="preserve">             </w:t>
      </w:r>
      <w:r w:rsidR="00D5050E">
        <w:rPr>
          <w:rFonts w:ascii="Times New Roman" w:hAnsi="Times New Roman"/>
          <w:b/>
          <w:sz w:val="24"/>
          <w:szCs w:val="24"/>
        </w:rPr>
        <w:t xml:space="preserve">                    </w:t>
      </w:r>
      <w:r>
        <w:rPr>
          <w:rFonts w:ascii="Times New Roman" w:hAnsi="Times New Roman"/>
          <w:b/>
          <w:sz w:val="24"/>
          <w:szCs w:val="24"/>
        </w:rPr>
        <w:t xml:space="preserve">                                    </w:t>
      </w:r>
      <w:r w:rsidR="00D5050E">
        <w:rPr>
          <w:rFonts w:ascii="Times New Roman" w:hAnsi="Times New Roman"/>
          <w:b/>
          <w:sz w:val="24"/>
          <w:szCs w:val="24"/>
        </w:rPr>
        <w:t xml:space="preserve">         </w:t>
      </w:r>
      <w:r w:rsidR="00F855BB">
        <w:rPr>
          <w:rFonts w:ascii="Times New Roman" w:hAnsi="Times New Roman"/>
          <w:b/>
          <w:sz w:val="24"/>
          <w:szCs w:val="24"/>
        </w:rPr>
        <w:t xml:space="preserve">  </w:t>
      </w:r>
      <w:r w:rsidR="00D5050E">
        <w:rPr>
          <w:rFonts w:ascii="Times New Roman" w:hAnsi="Times New Roman"/>
          <w:b/>
          <w:sz w:val="24"/>
          <w:szCs w:val="24"/>
        </w:rPr>
        <w:t>б)</w:t>
      </w:r>
    </w:p>
    <w:p w:rsidR="00F855BB" w:rsidRDefault="00D5050E" w:rsidP="00D5050E">
      <w:pPr>
        <w:widowControl w:val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3291840</wp:posOffset>
            </wp:positionH>
            <wp:positionV relativeFrom="paragraph">
              <wp:posOffset>245110</wp:posOffset>
            </wp:positionV>
            <wp:extent cx="2769870" cy="1740535"/>
            <wp:effectExtent l="0" t="0" r="0" b="0"/>
            <wp:wrapSquare wrapText="bothSides"/>
            <wp:docPr id="3" name="Диаграмма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15"/>
                    <pic:cNvPicPr>
                      <a:picLocks noChangeArrowheads="1"/>
                    </pic:cNvPicPr>
                  </pic:nvPicPr>
                  <pic:blipFill>
                    <a:blip r:embed="rId24" cstate="print"/>
                    <a:srcRect l="-4706" t="-1360" r="-8081" b="-1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870" cy="1740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24"/>
          <w:szCs w:val="24"/>
        </w:rPr>
        <w:t xml:space="preserve">                              </w:t>
      </w:r>
      <w:r w:rsidR="00F855BB">
        <w:rPr>
          <w:rFonts w:ascii="Times New Roman" w:hAnsi="Times New Roman"/>
          <w:b/>
          <w:sz w:val="24"/>
          <w:szCs w:val="24"/>
        </w:rPr>
        <w:t xml:space="preserve">             </w:t>
      </w: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</w:t>
      </w:r>
      <w:r w:rsidR="00F855BB">
        <w:rPr>
          <w:rFonts w:ascii="Times New Roman" w:hAnsi="Times New Roman"/>
          <w:b/>
          <w:sz w:val="24"/>
          <w:szCs w:val="24"/>
        </w:rPr>
        <w:t xml:space="preserve">   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Рис</w:t>
      </w:r>
      <w:r w:rsidR="003002E5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9  Зависимости высот неупругих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эффектов ВТ от длительности насыщения: а)          </w:t>
      </w:r>
      <w:r>
        <w:rPr>
          <w:rFonts w:ascii="Times New Roman" w:hAnsi="Times New Roman"/>
          <w:b/>
          <w:sz w:val="24"/>
          <w:szCs w:val="24"/>
        </w:rPr>
        <w:t>в)</w:t>
      </w:r>
    </w:p>
    <w:p w:rsidR="00F855BB" w:rsidRDefault="00F855BB" w:rsidP="00F855BB">
      <w:pPr>
        <w:widowControl w:val="0"/>
        <w:jc w:val="both"/>
        <w:rPr>
          <w:rFonts w:ascii="Times New Roman" w:eastAsia="+mn-ea" w:hAnsi="Times New Roman"/>
          <w:bCs/>
          <w:color w:val="000000"/>
          <w:kern w:val="24"/>
        </w:rPr>
      </w:pPr>
      <w:r>
        <w:rPr>
          <w:rFonts w:ascii="Times New Roman" w:hAnsi="Times New Roman"/>
          <w:bCs/>
        </w:rPr>
        <w:t>водородные максимумы Снука – Кестера (а);</w:t>
      </w:r>
      <w:r>
        <w:rPr>
          <w:rFonts w:ascii="Times New Roman" w:eastAsia="+mn-ea" w:hAnsi="Times New Roman"/>
          <w:bCs/>
          <w:color w:val="000000"/>
          <w:kern w:val="24"/>
        </w:rPr>
        <w:t xml:space="preserve">   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bCs/>
        </w:rPr>
      </w:pPr>
      <w:r>
        <w:rPr>
          <w:rFonts w:ascii="Times New Roman" w:eastAsia="+mn-ea" w:hAnsi="Times New Roman"/>
          <w:bCs/>
          <w:color w:val="000000"/>
          <w:kern w:val="24"/>
        </w:rPr>
        <w:t xml:space="preserve">деструкционные максимумы </w:t>
      </w:r>
      <w:r>
        <w:rPr>
          <w:rFonts w:ascii="Times New Roman" w:hAnsi="Times New Roman"/>
          <w:bCs/>
        </w:rPr>
        <w:t>(</w:t>
      </w:r>
      <w:r>
        <w:rPr>
          <w:rFonts w:ascii="Times New Roman" w:hAnsi="Times New Roman"/>
          <w:bCs/>
          <w:i/>
          <w:lang w:val="en-US"/>
        </w:rPr>
        <w:t>j</w:t>
      </w:r>
      <w:r>
        <w:rPr>
          <w:rFonts w:ascii="Times New Roman" w:hAnsi="Times New Roman"/>
          <w:bCs/>
        </w:rPr>
        <w:t xml:space="preserve"> = 150 А/м</w:t>
      </w:r>
      <w:r>
        <w:rPr>
          <w:rFonts w:ascii="Times New Roman" w:hAnsi="Times New Roman"/>
          <w:bCs/>
          <w:vertAlign w:val="superscript"/>
        </w:rPr>
        <w:t>2</w:t>
      </w:r>
      <w:r>
        <w:rPr>
          <w:rFonts w:ascii="Times New Roman" w:hAnsi="Times New Roman"/>
          <w:bCs/>
        </w:rPr>
        <w:t xml:space="preserve">)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(сталь Ст3)</w:t>
      </w:r>
      <w:r>
        <w:rPr>
          <w:rFonts w:ascii="Times New Roman" w:eastAsia="+mn-ea" w:hAnsi="Times New Roman"/>
          <w:bCs/>
          <w:color w:val="000000"/>
          <w:kern w:val="24"/>
        </w:rPr>
        <w:t xml:space="preserve"> (б)</w:t>
      </w:r>
      <w:r>
        <w:rPr>
          <w:rFonts w:ascii="Times New Roman" w:hAnsi="Times New Roman"/>
          <w:bCs/>
        </w:rPr>
        <w:t xml:space="preserve">; фон ВТ: 1 – </w:t>
      </w:r>
      <w:r>
        <w:rPr>
          <w:rFonts w:ascii="Times New Roman" w:hAnsi="Times New Roman"/>
          <w:bCs/>
          <w:i/>
          <w:lang w:val="en-US"/>
        </w:rPr>
        <w:t>j</w:t>
      </w:r>
      <w:r>
        <w:rPr>
          <w:rFonts w:ascii="Times New Roman" w:hAnsi="Times New Roman"/>
          <w:bCs/>
        </w:rPr>
        <w:t xml:space="preserve"> = 60 А/м</w:t>
      </w:r>
      <w:r>
        <w:rPr>
          <w:rFonts w:ascii="Times New Roman" w:hAnsi="Times New Roman"/>
          <w:bCs/>
          <w:vertAlign w:val="superscript"/>
        </w:rPr>
        <w:t>2</w:t>
      </w:r>
      <w:r>
        <w:rPr>
          <w:rFonts w:ascii="Times New Roman" w:hAnsi="Times New Roman"/>
          <w:bCs/>
        </w:rPr>
        <w:t>,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 xml:space="preserve">2 – </w:t>
      </w:r>
      <w:r>
        <w:rPr>
          <w:rFonts w:ascii="Times New Roman" w:hAnsi="Times New Roman"/>
          <w:bCs/>
          <w:i/>
          <w:lang w:val="en-US"/>
        </w:rPr>
        <w:t>j</w:t>
      </w:r>
      <w:r>
        <w:rPr>
          <w:rFonts w:ascii="Times New Roman" w:hAnsi="Times New Roman"/>
          <w:bCs/>
        </w:rPr>
        <w:t xml:space="preserve"> = 150 А/м</w:t>
      </w:r>
      <w:r>
        <w:rPr>
          <w:rFonts w:ascii="Times New Roman" w:hAnsi="Times New Roman"/>
          <w:bCs/>
          <w:vertAlign w:val="superscript"/>
        </w:rPr>
        <w:t>2</w:t>
      </w:r>
      <w:r>
        <w:rPr>
          <w:rFonts w:ascii="Times New Roman" w:hAnsi="Times New Roman"/>
          <w:bCs/>
        </w:rPr>
        <w:t xml:space="preserve"> (сталь 20) (в)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Металлографические исследования, пр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веденные ранее в работе Л.В. Муравлевой</w:t>
      </w:r>
      <w:r>
        <w:rPr>
          <w:rStyle w:val="af"/>
          <w:rFonts w:ascii="Times New Roman" w:hAnsi="Times New Roman"/>
          <w:sz w:val="24"/>
          <w:szCs w:val="24"/>
        </w:rPr>
        <w:footnoteReference w:id="2"/>
      </w:r>
      <w:r>
        <w:rPr>
          <w:rFonts w:ascii="Times New Roman" w:hAnsi="Times New Roman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/>
          <w:sz w:val="24"/>
          <w:szCs w:val="24"/>
        </w:rPr>
        <w:t>на стали Ст3 в аналогичных условиях, фиксиров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ли эволюцию ансамбля микротрещин (рис.10). Она полностью соответствует последовательности процессов, описанных выше.</w:t>
      </w:r>
    </w:p>
    <w:p w:rsidR="00F855BB" w:rsidRDefault="00D37D8E" w:rsidP="00F855BB">
      <w:pPr>
        <w:widowControl w:val="0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-135255</wp:posOffset>
            </wp:positionH>
            <wp:positionV relativeFrom="paragraph">
              <wp:posOffset>31115</wp:posOffset>
            </wp:positionV>
            <wp:extent cx="3183255" cy="1821815"/>
            <wp:effectExtent l="0" t="0" r="0" b="0"/>
            <wp:wrapSquare wrapText="bothSides"/>
            <wp:docPr id="14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1"/>
                    <pic:cNvPicPr>
                      <a:picLocks noChangeArrowheads="1"/>
                    </pic:cNvPicPr>
                  </pic:nvPicPr>
                  <pic:blipFill>
                    <a:blip r:embed="rId25" cstate="print"/>
                    <a:srcRect l="-3387" t="-6828" r="-1649" b="-5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3255" cy="1821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855BB">
        <w:rPr>
          <w:rFonts w:ascii="Times New Roman" w:hAnsi="Times New Roman"/>
          <w:b/>
          <w:sz w:val="24"/>
          <w:szCs w:val="24"/>
        </w:rPr>
        <w:t xml:space="preserve">                            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szCs w:val="24"/>
        </w:rPr>
        <w:t>Рис</w:t>
      </w:r>
      <w:r w:rsidR="003002E5">
        <w:rPr>
          <w:rFonts w:ascii="Times New Roman" w:hAnsi="Times New Roman"/>
          <w:szCs w:val="24"/>
        </w:rPr>
        <w:t>.</w:t>
      </w:r>
      <w:r>
        <w:rPr>
          <w:rFonts w:ascii="Times New Roman" w:hAnsi="Times New Roman"/>
          <w:szCs w:val="24"/>
        </w:rPr>
        <w:t xml:space="preserve"> 10 </w:t>
      </w:r>
      <w:r>
        <w:rPr>
          <w:rFonts w:ascii="Times New Roman" w:hAnsi="Times New Roman"/>
          <w:bCs/>
        </w:rPr>
        <w:t>Зависимости изменения плотн</w:t>
      </w:r>
      <w:r>
        <w:rPr>
          <w:rFonts w:ascii="Times New Roman" w:hAnsi="Times New Roman"/>
          <w:bCs/>
        </w:rPr>
        <w:t>о</w:t>
      </w:r>
      <w:r>
        <w:rPr>
          <w:rFonts w:ascii="Times New Roman" w:hAnsi="Times New Roman"/>
          <w:bCs/>
        </w:rPr>
        <w:t>сти (</w:t>
      </w:r>
      <w:r>
        <w:rPr>
          <w:rFonts w:ascii="Times New Roman" w:hAnsi="Times New Roman"/>
          <w:bCs/>
          <w:i/>
          <w:lang w:val="en-US"/>
        </w:rPr>
        <w:t>R</w:t>
      </w:r>
      <w:r>
        <w:rPr>
          <w:rFonts w:ascii="Times New Roman" w:hAnsi="Times New Roman"/>
          <w:bCs/>
        </w:rPr>
        <w:t>) и средних длин (</w:t>
      </w:r>
      <w:r>
        <w:rPr>
          <w:rFonts w:ascii="Times New Roman" w:hAnsi="Times New Roman"/>
          <w:bCs/>
          <w:i/>
          <w:lang w:val="en-US"/>
        </w:rPr>
        <w:t>L</w:t>
      </w:r>
      <w:r>
        <w:rPr>
          <w:rFonts w:ascii="Times New Roman" w:hAnsi="Times New Roman"/>
          <w:bCs/>
        </w:rPr>
        <w:t>) микротрещин от дл</w:t>
      </w:r>
      <w:r>
        <w:rPr>
          <w:rFonts w:ascii="Times New Roman" w:hAnsi="Times New Roman"/>
          <w:bCs/>
        </w:rPr>
        <w:t>и</w:t>
      </w:r>
      <w:r>
        <w:rPr>
          <w:rFonts w:ascii="Times New Roman" w:hAnsi="Times New Roman"/>
          <w:bCs/>
        </w:rPr>
        <w:t xml:space="preserve">тельности наводороживания (τ) (сталь Ст3) </w:t>
      </w:r>
    </w:p>
    <w:p w:rsidR="003002E5" w:rsidRDefault="003002E5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37D8E" w:rsidRDefault="002C4031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 w:rsidRPr="002C4031">
        <w:rPr>
          <w:rFonts w:ascii="Times New Roman" w:hAnsi="Times New Roman"/>
          <w:bCs/>
          <w:noProof/>
          <w:szCs w:val="24"/>
          <w:lang w:eastAsia="ru-RU"/>
        </w:rPr>
        <w:pict>
          <v:shape id="_x0000_s1040" type="#_x0000_t202" style="position:absolute;left:0;text-align:left;margin-left:-183.2pt;margin-top:96.9pt;width:65.1pt;height:18pt;z-index:251674624" filled="f" stroked="f">
            <v:textbox>
              <w:txbxContent>
                <w:p w:rsidR="00A45954" w:rsidRDefault="00A45954" w:rsidP="00F855BB">
                  <w:pPr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А           Б</w:t>
                  </w:r>
                </w:p>
              </w:txbxContent>
            </v:textbox>
          </v:shape>
        </w:pict>
      </w:r>
      <w:r w:rsidRPr="002C4031">
        <w:rPr>
          <w:rFonts w:ascii="Times New Roman" w:hAnsi="Times New Roman"/>
          <w:bCs/>
          <w:noProof/>
          <w:szCs w:val="24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9" type="#_x0000_t32" style="position:absolute;left:0;text-align:left;margin-left:-142.9pt;margin-top:90.55pt;width:1.5pt;height:112.25pt;flip:x y;z-index:251673600" o:connectortype="straight"/>
        </w:pict>
      </w:r>
      <w:r w:rsidR="00D37D8E">
        <w:rPr>
          <w:rFonts w:ascii="Times New Roman" w:hAnsi="Times New Roman"/>
          <w:bCs/>
          <w:noProof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-3297555</wp:posOffset>
            </wp:positionH>
            <wp:positionV relativeFrom="paragraph">
              <wp:posOffset>1035050</wp:posOffset>
            </wp:positionV>
            <wp:extent cx="2898775" cy="1889760"/>
            <wp:effectExtent l="0" t="0" r="0" b="0"/>
            <wp:wrapSquare wrapText="bothSides"/>
            <wp:docPr id="4" name="Objec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anchor>
        </w:drawing>
      </w:r>
      <w:r w:rsidR="00F855BB">
        <w:rPr>
          <w:rFonts w:ascii="Times New Roman" w:hAnsi="Times New Roman"/>
          <w:sz w:val="24"/>
          <w:szCs w:val="24"/>
        </w:rPr>
        <w:t>При  достижении напряжения в вод</w:t>
      </w:r>
      <w:r w:rsidR="00F855BB">
        <w:rPr>
          <w:rFonts w:ascii="Times New Roman" w:hAnsi="Times New Roman"/>
          <w:sz w:val="24"/>
          <w:szCs w:val="24"/>
        </w:rPr>
        <w:t>о</w:t>
      </w:r>
      <w:r w:rsidR="00F855BB">
        <w:rPr>
          <w:rFonts w:ascii="Times New Roman" w:hAnsi="Times New Roman"/>
          <w:sz w:val="24"/>
          <w:szCs w:val="24"/>
        </w:rPr>
        <w:t>родных коллекторах, достаточного для ра</w:t>
      </w:r>
      <w:r w:rsidR="00F855BB">
        <w:rPr>
          <w:rFonts w:ascii="Times New Roman" w:hAnsi="Times New Roman"/>
          <w:sz w:val="24"/>
          <w:szCs w:val="24"/>
        </w:rPr>
        <w:t>с</w:t>
      </w:r>
      <w:r w:rsidR="00F855BB">
        <w:rPr>
          <w:rFonts w:ascii="Times New Roman" w:hAnsi="Times New Roman"/>
          <w:sz w:val="24"/>
          <w:szCs w:val="24"/>
        </w:rPr>
        <w:t>крытия трещин, они растут, количество их уменьшается (рис.10). Величину этого н</w:t>
      </w:r>
      <w:r w:rsidR="00F855BB">
        <w:rPr>
          <w:rFonts w:ascii="Times New Roman" w:hAnsi="Times New Roman"/>
          <w:sz w:val="24"/>
          <w:szCs w:val="24"/>
        </w:rPr>
        <w:t>а</w:t>
      </w:r>
      <w:r w:rsidR="00F855BB">
        <w:rPr>
          <w:rFonts w:ascii="Times New Roman" w:hAnsi="Times New Roman"/>
          <w:sz w:val="24"/>
          <w:szCs w:val="24"/>
        </w:rPr>
        <w:t>пряжения определили, используя данные АЭ. Наводороженные образцы статически сжимали в диапазоне напряжений 40-260 МПа со скоростью 2,3 МПа/мин. На кумулятивных кр</w:t>
      </w:r>
      <w:r w:rsidR="00F855BB">
        <w:rPr>
          <w:rFonts w:ascii="Times New Roman" w:hAnsi="Times New Roman"/>
          <w:sz w:val="24"/>
          <w:szCs w:val="24"/>
        </w:rPr>
        <w:t>и</w:t>
      </w:r>
      <w:r w:rsidR="00F855BB">
        <w:rPr>
          <w:rFonts w:ascii="Times New Roman" w:hAnsi="Times New Roman"/>
          <w:sz w:val="24"/>
          <w:szCs w:val="24"/>
        </w:rPr>
        <w:t xml:space="preserve">вых количества импульсов АЭ </w:t>
      </w:r>
      <w:r w:rsidR="00F855BB">
        <w:rPr>
          <w:rFonts w:ascii="Times New Roman" w:hAnsi="Times New Roman"/>
          <w:i/>
          <w:sz w:val="24"/>
          <w:szCs w:val="24"/>
          <w:lang w:val="en-US"/>
        </w:rPr>
        <w:t>N</w:t>
      </w:r>
      <w:r w:rsidR="00F855BB">
        <w:rPr>
          <w:rFonts w:ascii="Times New Roman" w:hAnsi="Times New Roman"/>
          <w:i/>
          <w:sz w:val="24"/>
          <w:szCs w:val="24"/>
          <w:vertAlign w:val="subscript"/>
        </w:rPr>
        <w:t>Σ</w:t>
      </w:r>
      <w:r w:rsidR="00F855BB">
        <w:rPr>
          <w:rFonts w:ascii="Times New Roman" w:hAnsi="Times New Roman"/>
          <w:sz w:val="24"/>
          <w:szCs w:val="24"/>
        </w:rPr>
        <w:t xml:space="preserve"> и энергии </w:t>
      </w:r>
      <w:r w:rsidR="00F855BB">
        <w:rPr>
          <w:rFonts w:ascii="Times New Roman" w:hAnsi="Times New Roman"/>
          <w:i/>
          <w:sz w:val="24"/>
          <w:szCs w:val="24"/>
        </w:rPr>
        <w:t>Е</w:t>
      </w:r>
      <w:r w:rsidR="00F855BB">
        <w:rPr>
          <w:rFonts w:ascii="Times New Roman" w:hAnsi="Times New Roman"/>
          <w:i/>
          <w:sz w:val="24"/>
          <w:szCs w:val="24"/>
          <w:vertAlign w:val="subscript"/>
        </w:rPr>
        <w:t>Σ</w:t>
      </w:r>
      <w:r w:rsidR="00F855BB">
        <w:rPr>
          <w:rFonts w:ascii="Times New Roman" w:hAnsi="Times New Roman"/>
          <w:sz w:val="24"/>
          <w:szCs w:val="24"/>
        </w:rPr>
        <w:t xml:space="preserve"> фиксировали два диапазона (А и Б) с различной интенсивностью изменения (рис.11). Эти  же диапазоны наблюдали на зависимостях длител</w:t>
      </w:r>
      <w:r w:rsidR="00F855BB">
        <w:rPr>
          <w:rFonts w:ascii="Times New Roman" w:hAnsi="Times New Roman"/>
          <w:sz w:val="24"/>
          <w:szCs w:val="24"/>
        </w:rPr>
        <w:t>ь</w:t>
      </w:r>
      <w:r w:rsidR="00F855BB">
        <w:rPr>
          <w:rFonts w:ascii="Times New Roman" w:hAnsi="Times New Roman"/>
          <w:sz w:val="24"/>
          <w:szCs w:val="24"/>
        </w:rPr>
        <w:t xml:space="preserve">ности сигнала АЭ от времени. </w:t>
      </w:r>
    </w:p>
    <w:p w:rsidR="00D37D8E" w:rsidRDefault="00D37D8E" w:rsidP="00D37D8E">
      <w:pPr>
        <w:widowControl w:val="0"/>
        <w:ind w:firstLine="709"/>
        <w:jc w:val="both"/>
        <w:rPr>
          <w:rFonts w:ascii="Times New Roman" w:hAnsi="Times New Roman"/>
          <w:bCs/>
          <w:szCs w:val="24"/>
        </w:rPr>
      </w:pPr>
    </w:p>
    <w:p w:rsidR="00D37D8E" w:rsidRDefault="00D37D8E" w:rsidP="00D37D8E">
      <w:pPr>
        <w:widowControl w:val="0"/>
        <w:ind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  <w:szCs w:val="24"/>
        </w:rPr>
        <w:t>Рис</w:t>
      </w:r>
      <w:r w:rsidR="003002E5">
        <w:rPr>
          <w:rFonts w:ascii="Times New Roman" w:hAnsi="Times New Roman"/>
          <w:bCs/>
          <w:szCs w:val="24"/>
        </w:rPr>
        <w:t>.</w:t>
      </w:r>
      <w:r>
        <w:rPr>
          <w:rFonts w:ascii="Times New Roman" w:hAnsi="Times New Roman"/>
          <w:bCs/>
          <w:szCs w:val="24"/>
        </w:rPr>
        <w:t xml:space="preserve"> 11 Зависимость суммарной энергия АЭ от приложенного напряжения</w:t>
      </w:r>
      <w:r>
        <w:rPr>
          <w:rFonts w:ascii="Times New Roman" w:hAnsi="Times New Roman"/>
          <w:bCs/>
        </w:rPr>
        <w:t xml:space="preserve"> (сталь 20, кумуляти</w:t>
      </w:r>
      <w:r>
        <w:rPr>
          <w:rFonts w:ascii="Times New Roman" w:hAnsi="Times New Roman"/>
          <w:bCs/>
        </w:rPr>
        <w:t>в</w:t>
      </w:r>
      <w:r>
        <w:rPr>
          <w:rFonts w:ascii="Times New Roman" w:hAnsi="Times New Roman"/>
          <w:bCs/>
        </w:rPr>
        <w:t>ные кривые. Цифры - длительность насыщения)</w:t>
      </w:r>
    </w:p>
    <w:p w:rsidR="00D37D8E" w:rsidRDefault="00D37D8E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Наиболее ярко такой характер кривых демонстрирует зависимость, после насыщения в течение 5 ч. Перелом на кривых </w:t>
      </w:r>
      <w:r>
        <w:rPr>
          <w:rFonts w:ascii="Times New Roman" w:hAnsi="Times New Roman"/>
          <w:i/>
          <w:sz w:val="24"/>
          <w:szCs w:val="24"/>
        </w:rPr>
        <w:t>Е</w:t>
      </w:r>
      <w:r>
        <w:rPr>
          <w:rFonts w:ascii="Times New Roman" w:hAnsi="Times New Roman"/>
          <w:i/>
          <w:sz w:val="24"/>
          <w:szCs w:val="24"/>
          <w:vertAlign w:val="subscript"/>
        </w:rPr>
        <w:t>Σ</w:t>
      </w:r>
      <w:r>
        <w:rPr>
          <w:rFonts w:ascii="Times New Roman" w:hAnsi="Times New Roman"/>
          <w:i/>
          <w:sz w:val="24"/>
          <w:szCs w:val="24"/>
        </w:rPr>
        <w:t>(σ)</w:t>
      </w:r>
      <w:r>
        <w:rPr>
          <w:rFonts w:ascii="Times New Roman" w:hAnsi="Times New Roman"/>
          <w:sz w:val="24"/>
          <w:szCs w:val="24"/>
        </w:rPr>
        <w:t xml:space="preserve"> и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  <w:lang w:val="en-US"/>
        </w:rPr>
        <w:t>N</w:t>
      </w:r>
      <w:r>
        <w:rPr>
          <w:rFonts w:ascii="Times New Roman" w:hAnsi="Times New Roman"/>
          <w:i/>
          <w:sz w:val="24"/>
          <w:szCs w:val="24"/>
          <w:vertAlign w:val="subscript"/>
        </w:rPr>
        <w:t>Σ</w:t>
      </w:r>
      <w:r>
        <w:rPr>
          <w:rFonts w:ascii="Times New Roman" w:hAnsi="Times New Roman"/>
          <w:i/>
          <w:sz w:val="24"/>
          <w:szCs w:val="24"/>
        </w:rPr>
        <w:t>(σ)</w:t>
      </w:r>
      <w:r>
        <w:rPr>
          <w:rFonts w:ascii="Times New Roman" w:hAnsi="Times New Roman"/>
          <w:sz w:val="24"/>
          <w:szCs w:val="24"/>
        </w:rPr>
        <w:t xml:space="preserve"> наблюдали при напряжениях порядка ~110-130 МПа. Они близки к расчетным величинам напряжений, прогнозируемым теорией Гри</w:t>
      </w:r>
      <w:r>
        <w:rPr>
          <w:rFonts w:ascii="Times New Roman" w:hAnsi="Times New Roman"/>
          <w:sz w:val="24"/>
          <w:szCs w:val="24"/>
        </w:rPr>
        <w:t>ф</w:t>
      </w:r>
      <w:r>
        <w:rPr>
          <w:rFonts w:ascii="Times New Roman" w:hAnsi="Times New Roman"/>
          <w:sz w:val="24"/>
          <w:szCs w:val="24"/>
        </w:rPr>
        <w:t xml:space="preserve">фитса-Орована. Начальный размер активной микротрещины определили равным 1,5-2 мкм.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Резкое снижение интенсивности эмиссии сигналов и энергии в диапазоне Б (рис.11) свидетельствовало об изменении механизма деформации и повреждаемости. Линейная а</w:t>
      </w:r>
      <w:r>
        <w:rPr>
          <w:rFonts w:ascii="Times New Roman" w:hAnsi="Times New Roman"/>
          <w:sz w:val="24"/>
          <w:szCs w:val="24"/>
        </w:rPr>
        <w:t>п</w:t>
      </w:r>
      <w:r>
        <w:rPr>
          <w:rFonts w:ascii="Times New Roman" w:hAnsi="Times New Roman"/>
          <w:sz w:val="24"/>
          <w:szCs w:val="24"/>
        </w:rPr>
        <w:t>проксимация выявленных диапазонов А и Б для напряжений 0-130 МПа и 130-260 МПа п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зволила определить скорость изменения </w:t>
      </w:r>
      <w:r>
        <w:rPr>
          <w:rFonts w:ascii="Times New Roman" w:hAnsi="Times New Roman"/>
          <w:i/>
          <w:sz w:val="24"/>
          <w:szCs w:val="24"/>
        </w:rPr>
        <w:t>Е</w:t>
      </w:r>
      <w:r>
        <w:rPr>
          <w:rFonts w:ascii="Times New Roman" w:hAnsi="Times New Roman"/>
          <w:i/>
          <w:sz w:val="24"/>
          <w:szCs w:val="24"/>
          <w:vertAlign w:val="subscript"/>
        </w:rPr>
        <w:t>Σ</w:t>
      </w:r>
      <w:r>
        <w:rPr>
          <w:rFonts w:ascii="Times New Roman" w:hAnsi="Times New Roman"/>
          <w:i/>
          <w:sz w:val="24"/>
          <w:szCs w:val="24"/>
        </w:rPr>
        <w:t>(σ)</w:t>
      </w:r>
      <w:r>
        <w:rPr>
          <w:rFonts w:ascii="Times New Roman" w:hAnsi="Times New Roman"/>
          <w:sz w:val="24"/>
          <w:szCs w:val="24"/>
        </w:rPr>
        <w:t xml:space="preserve"> и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  <w:lang w:val="en-US"/>
        </w:rPr>
        <w:t>N</w:t>
      </w:r>
      <w:r>
        <w:rPr>
          <w:rFonts w:ascii="Times New Roman" w:hAnsi="Times New Roman"/>
          <w:i/>
          <w:sz w:val="24"/>
          <w:szCs w:val="24"/>
          <w:vertAlign w:val="subscript"/>
        </w:rPr>
        <w:t>Σ</w:t>
      </w:r>
      <w:r>
        <w:rPr>
          <w:rFonts w:ascii="Times New Roman" w:hAnsi="Times New Roman"/>
          <w:i/>
          <w:sz w:val="24"/>
          <w:szCs w:val="24"/>
        </w:rPr>
        <w:t>(σ)</w:t>
      </w:r>
      <w:r>
        <w:rPr>
          <w:rFonts w:ascii="Times New Roman" w:hAnsi="Times New Roman"/>
          <w:sz w:val="24"/>
          <w:szCs w:val="24"/>
        </w:rPr>
        <w:t xml:space="preserve"> (рис.12).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Анализ зависимостей </w:t>
      </w:r>
      <w:r>
        <w:rPr>
          <w:rFonts w:ascii="Times New Roman" w:hAnsi="Times New Roman"/>
          <w:i/>
          <w:sz w:val="24"/>
          <w:szCs w:val="24"/>
          <w:lang w:val="en-US"/>
        </w:rPr>
        <w:t>dE</w:t>
      </w:r>
      <w:r>
        <w:rPr>
          <w:rFonts w:ascii="Times New Roman" w:hAnsi="Times New Roman"/>
          <w:i/>
          <w:sz w:val="24"/>
          <w:szCs w:val="24"/>
          <w:vertAlign w:val="subscript"/>
          <w:lang w:val="en-US"/>
        </w:rPr>
        <w:t>Σ</w:t>
      </w:r>
      <w:r>
        <w:rPr>
          <w:rFonts w:ascii="Times New Roman" w:hAnsi="Times New Roman"/>
          <w:i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  <w:lang w:val="en-US"/>
        </w:rPr>
        <w:t>dσ</w:t>
      </w:r>
      <w:r>
        <w:rPr>
          <w:rFonts w:ascii="Times New Roman" w:hAnsi="Times New Roman"/>
          <w:sz w:val="24"/>
          <w:szCs w:val="24"/>
        </w:rPr>
        <w:t xml:space="preserve"> и </w:t>
      </w:r>
      <w:r>
        <w:rPr>
          <w:rFonts w:ascii="Times New Roman" w:hAnsi="Times New Roman"/>
          <w:i/>
          <w:sz w:val="24"/>
          <w:szCs w:val="24"/>
          <w:lang w:val="en-US"/>
        </w:rPr>
        <w:t>dN</w:t>
      </w:r>
      <w:r>
        <w:rPr>
          <w:rFonts w:ascii="Times New Roman" w:hAnsi="Times New Roman"/>
          <w:i/>
          <w:sz w:val="24"/>
          <w:szCs w:val="24"/>
          <w:vertAlign w:val="subscript"/>
          <w:lang w:val="en-US"/>
        </w:rPr>
        <w:t>Σ</w:t>
      </w:r>
      <w:r>
        <w:rPr>
          <w:rFonts w:ascii="Times New Roman" w:hAnsi="Times New Roman"/>
          <w:i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  <w:lang w:val="en-US"/>
        </w:rPr>
        <w:t>dσ</w:t>
      </w:r>
      <w:r>
        <w:rPr>
          <w:rFonts w:ascii="Times New Roman" w:hAnsi="Times New Roman"/>
          <w:sz w:val="24"/>
          <w:szCs w:val="24"/>
        </w:rPr>
        <w:t xml:space="preserve"> от длительности наводороживания (рис.12) в</w:t>
      </w:r>
      <w:r>
        <w:rPr>
          <w:rFonts w:ascii="Times New Roman" w:hAnsi="Times New Roman"/>
          <w:sz w:val="24"/>
          <w:szCs w:val="24"/>
        </w:rPr>
        <w:t>ы</w:t>
      </w:r>
      <w:r>
        <w:rPr>
          <w:rFonts w:ascii="Times New Roman" w:hAnsi="Times New Roman"/>
          <w:sz w:val="24"/>
          <w:szCs w:val="24"/>
        </w:rPr>
        <w:t>явил два одновременно развивающихся процесса: микропластическую деформацию и дес</w:t>
      </w:r>
      <w:r>
        <w:rPr>
          <w:rFonts w:ascii="Times New Roman" w:hAnsi="Times New Roman"/>
          <w:sz w:val="24"/>
          <w:szCs w:val="24"/>
        </w:rPr>
        <w:t>т</w:t>
      </w:r>
      <w:r>
        <w:rPr>
          <w:rFonts w:ascii="Times New Roman" w:hAnsi="Times New Roman"/>
          <w:sz w:val="24"/>
          <w:szCs w:val="24"/>
        </w:rPr>
        <w:t>руктивный процесс. О первом говорил резкий рост суммарных энергии и количества и</w:t>
      </w:r>
      <w:r>
        <w:rPr>
          <w:rFonts w:ascii="Times New Roman" w:hAnsi="Times New Roman"/>
          <w:sz w:val="24"/>
          <w:szCs w:val="24"/>
        </w:rPr>
        <w:t>м</w:t>
      </w:r>
      <w:r>
        <w:rPr>
          <w:rFonts w:ascii="Times New Roman" w:hAnsi="Times New Roman"/>
          <w:sz w:val="24"/>
          <w:szCs w:val="24"/>
        </w:rPr>
        <w:t>пульсов АЭ до напряжения 110-130 МПа, а также увеличение микроискажений (фон ВТ). О вторых судили по резкому снижению АЭ после нагрузки 130 МПа и немонотонному хара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теру изменения локализованных микронапряжений (Д</w:t>
      </w:r>
      <w:r>
        <w:rPr>
          <w:rFonts w:ascii="Times New Roman" w:hAnsi="Times New Roman"/>
          <w:i/>
          <w:sz w:val="24"/>
          <w:szCs w:val="24"/>
          <w:lang w:val="en-US"/>
        </w:rPr>
        <w:t>e</w:t>
      </w:r>
      <w:r>
        <w:rPr>
          <w:rFonts w:ascii="Times New Roman" w:hAnsi="Times New Roman"/>
          <w:sz w:val="24"/>
          <w:szCs w:val="24"/>
        </w:rPr>
        <w:t>).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59690</wp:posOffset>
            </wp:positionH>
            <wp:positionV relativeFrom="paragraph">
              <wp:posOffset>49530</wp:posOffset>
            </wp:positionV>
            <wp:extent cx="2717165" cy="1645920"/>
            <wp:effectExtent l="19050" t="0" r="6985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165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855BB" w:rsidRDefault="00F855BB" w:rsidP="00F855BB">
      <w:pPr>
        <w:widowControl w:val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Рис</w:t>
      </w:r>
      <w:r w:rsidR="003002E5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12 </w:t>
      </w:r>
      <w:r>
        <w:rPr>
          <w:rFonts w:ascii="Times New Roman" w:hAnsi="Times New Roman"/>
          <w:bCs/>
        </w:rPr>
        <w:t>Зависимость интенсивности энергии импул</w:t>
      </w:r>
      <w:r>
        <w:rPr>
          <w:rFonts w:ascii="Times New Roman" w:hAnsi="Times New Roman"/>
          <w:bCs/>
        </w:rPr>
        <w:t>ь</w:t>
      </w:r>
      <w:r>
        <w:rPr>
          <w:rFonts w:ascii="Times New Roman" w:hAnsi="Times New Roman"/>
          <w:bCs/>
        </w:rPr>
        <w:t>сов АЭ от длительности наводороживания (сталь 20)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Максимум изменения интенсивности п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раметров АЭ фиксировали в диапазоне 0-130 МПа после 5 ч наводороживания. Данные УЗД также подтверждают наличие двух «дополн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тельных» диапазонов развития повреждаемости в области 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>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Комплексный анализ результатов ВТ, АЭ и УЗД в ходе развития водородной повре</w:t>
      </w:r>
      <w:r>
        <w:rPr>
          <w:rFonts w:ascii="Times New Roman" w:hAnsi="Times New Roman"/>
          <w:sz w:val="24"/>
          <w:szCs w:val="24"/>
        </w:rPr>
        <w:t>ж</w:t>
      </w:r>
      <w:r>
        <w:rPr>
          <w:rFonts w:ascii="Times New Roman" w:hAnsi="Times New Roman"/>
          <w:sz w:val="24"/>
          <w:szCs w:val="24"/>
        </w:rPr>
        <w:t>даемости позволил выявить два «основных»  диапазона с превалирующим развитием дегр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дационных и деструктивных процессов (0…10÷15 час.) и (10÷15…30 ч), соответственно, и два «дополнительных» диапазона совместного развития этих процессов (0…5 ч; 5…10 ч).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Заключили, что внутри областей 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 и </w:t>
      </w:r>
      <w:r>
        <w:rPr>
          <w:rFonts w:ascii="Times New Roman" w:hAnsi="Times New Roman"/>
          <w:sz w:val="24"/>
          <w:szCs w:val="24"/>
          <w:lang w:val="en-US"/>
        </w:rPr>
        <w:t>III</w:t>
      </w:r>
      <w:r>
        <w:rPr>
          <w:rFonts w:ascii="Times New Roman" w:hAnsi="Times New Roman"/>
          <w:sz w:val="24"/>
          <w:szCs w:val="24"/>
        </w:rPr>
        <w:t xml:space="preserve"> развиваются процессы повреждаемости двух различных масштабных уровней. В области 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 (развития деградации) превалирует накопление объемных микроискажений за счет увеличения количества диффундирующего, окклюдир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ваного и молизующегося водорода. Повышение концентрации последнего ведет к росту да</w:t>
      </w:r>
      <w:r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>ления в его ловушках и увеличению количества активизирующихся коллекторов. С ростом длительности насыщения до 5 ч. количество активных коллекторов и давление в них растет. Характер фиксируемых сигналов АЭ говорит об активной генерации и движении дислокаций в процессе легкого скольжения при пластической деформации. Увеличивается плотность дислокаций с их выходом на поверхности (рис. 13). Интенсивность перечисленных проце</w:t>
      </w: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сов резкое снижение после насыщения в течени</w:t>
      </w:r>
      <w:r w:rsidR="00D37D8E"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 10-15 ч.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59690</wp:posOffset>
            </wp:positionH>
            <wp:positionV relativeFrom="paragraph">
              <wp:posOffset>41275</wp:posOffset>
            </wp:positionV>
            <wp:extent cx="2527300" cy="1747520"/>
            <wp:effectExtent l="19050" t="0" r="0" b="0"/>
            <wp:wrapSquare wrapText="bothSides"/>
            <wp:docPr id="17" name="Диаграмма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t>При нагружении наводороженных образцов, дислокации, движущиеся в объеме, и</w:t>
      </w: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пытывают растущее сопротивление полей напряжений акти</w:t>
      </w:r>
      <w:r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ных водородных коллекторов.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Cs w:val="24"/>
        </w:rPr>
        <w:t>Рис</w:t>
      </w:r>
      <w:r w:rsidR="003002E5">
        <w:rPr>
          <w:rFonts w:ascii="Times New Roman" w:hAnsi="Times New Roman"/>
          <w:szCs w:val="24"/>
        </w:rPr>
        <w:t>.</w:t>
      </w:r>
      <w:r>
        <w:rPr>
          <w:rFonts w:ascii="Times New Roman" w:hAnsi="Times New Roman"/>
          <w:szCs w:val="24"/>
        </w:rPr>
        <w:t xml:space="preserve"> 13  </w:t>
      </w:r>
      <w:r>
        <w:rPr>
          <w:rFonts w:ascii="Times New Roman" w:hAnsi="Times New Roman"/>
        </w:rPr>
        <w:t>Зависимость количества импульсов си</w:t>
      </w:r>
      <w:r>
        <w:rPr>
          <w:rFonts w:ascii="Times New Roman" w:hAnsi="Times New Roman"/>
        </w:rPr>
        <w:t>г</w:t>
      </w:r>
      <w:r>
        <w:rPr>
          <w:rFonts w:ascii="Times New Roman" w:hAnsi="Times New Roman"/>
        </w:rPr>
        <w:t xml:space="preserve">нала АЭ от приложенного напряжения (длительность наводороживания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</w:rPr>
        <w:t xml:space="preserve">τ = 1 ч и τ = 15 ч)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Число таких коллекторов повышается. Дал</w:t>
      </w:r>
      <w:r>
        <w:rPr>
          <w:rFonts w:ascii="Times New Roman" w:hAnsi="Times New Roman"/>
          <w:sz w:val="24"/>
          <w:szCs w:val="24"/>
        </w:rPr>
        <w:t>ь</w:t>
      </w:r>
      <w:r>
        <w:rPr>
          <w:rFonts w:ascii="Times New Roman" w:hAnsi="Times New Roman"/>
          <w:sz w:val="24"/>
          <w:szCs w:val="24"/>
        </w:rPr>
        <w:t>нейшее движение дислокаций и продолжение АЭ требует увеличения приложенных напр</w:t>
      </w:r>
      <w:r>
        <w:rPr>
          <w:rFonts w:ascii="Times New Roman" w:hAnsi="Times New Roman"/>
          <w:sz w:val="24"/>
          <w:szCs w:val="24"/>
        </w:rPr>
        <w:t>я</w:t>
      </w:r>
      <w:r>
        <w:rPr>
          <w:rFonts w:ascii="Times New Roman" w:hAnsi="Times New Roman"/>
          <w:sz w:val="24"/>
          <w:szCs w:val="24"/>
        </w:rPr>
        <w:t>жений. После 5 ч насыщения торможение дислокаций водородными коллекторами достигает максимума. В ходе дальнейшего увеличения длительности насыщения (10÷15 ч) реализуется эффект водородной локализации пластичности. Атомы водорода в зонах растягивающих н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пряжений коллекторов концентрируются вокруг взаимодействующих дислокаций в верш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нах субмикротрещин и снижают их упругую энергию. В результате сила отталкивания, пр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пятствующая зарождению субмикротрещин, уменьшается. Рост микротрещин путем слияния с субмикротрещинами облегчается. Процесс трещинообразования интенсифицируется. Этот </w:t>
      </w:r>
      <w:r>
        <w:rPr>
          <w:rFonts w:ascii="Times New Roman" w:hAnsi="Times New Roman"/>
          <w:sz w:val="24"/>
          <w:szCs w:val="24"/>
        </w:rPr>
        <w:lastRenderedPageBreak/>
        <w:t xml:space="preserve">алгоритм подтверждают результаты УЗД.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Диапазон времени насыщения 5-10 ч обозначили как </w:t>
      </w:r>
      <w:r>
        <w:rPr>
          <w:rFonts w:ascii="Times New Roman" w:hAnsi="Times New Roman"/>
          <w:i/>
          <w:sz w:val="24"/>
          <w:szCs w:val="24"/>
        </w:rPr>
        <w:t>деградационно-деструктивную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736388">
        <w:rPr>
          <w:rFonts w:ascii="Times New Roman" w:hAnsi="Times New Roman"/>
          <w:i/>
          <w:sz w:val="24"/>
          <w:szCs w:val="24"/>
        </w:rPr>
        <w:t>область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. В ней, начиная с длительности насыщения 10 ч, начинают активно развиваться микротрещины. Об этом свидетельствует рост локальных микронапряжений (Д).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Полученные результаты исследования водородной повреждаемости подтвердили де</w:t>
      </w:r>
      <w:r>
        <w:rPr>
          <w:rFonts w:ascii="Times New Roman" w:hAnsi="Times New Roman"/>
          <w:sz w:val="24"/>
          <w:szCs w:val="24"/>
        </w:rPr>
        <w:t>й</w:t>
      </w:r>
      <w:r>
        <w:rPr>
          <w:rFonts w:ascii="Times New Roman" w:hAnsi="Times New Roman"/>
          <w:sz w:val="24"/>
          <w:szCs w:val="24"/>
        </w:rPr>
        <w:t xml:space="preserve">ственность использованной деградационно-деструкционной концепции повреждаемости для случая водородного воздействия и позволили разработать </w:t>
      </w:r>
      <w:r w:rsidRPr="00736388">
        <w:rPr>
          <w:rFonts w:ascii="Times New Roman" w:hAnsi="Times New Roman"/>
          <w:i/>
          <w:sz w:val="24"/>
          <w:szCs w:val="24"/>
        </w:rPr>
        <w:t>феноменологическую модель вод</w:t>
      </w:r>
      <w:r w:rsidRPr="00736388">
        <w:rPr>
          <w:rFonts w:ascii="Times New Roman" w:hAnsi="Times New Roman"/>
          <w:i/>
          <w:sz w:val="24"/>
          <w:szCs w:val="24"/>
        </w:rPr>
        <w:t>о</w:t>
      </w:r>
      <w:r w:rsidRPr="00736388">
        <w:rPr>
          <w:rFonts w:ascii="Times New Roman" w:hAnsi="Times New Roman"/>
          <w:i/>
          <w:sz w:val="24"/>
          <w:szCs w:val="24"/>
        </w:rPr>
        <w:t>родной повреждаемости</w:t>
      </w:r>
      <w:r>
        <w:rPr>
          <w:rFonts w:ascii="Times New Roman" w:hAnsi="Times New Roman"/>
          <w:sz w:val="24"/>
          <w:szCs w:val="24"/>
        </w:rPr>
        <w:t xml:space="preserve"> (рис.14). </w:t>
      </w:r>
    </w:p>
    <w:p w:rsidR="00F855BB" w:rsidRDefault="001943D6" w:rsidP="00F855BB">
      <w:pPr>
        <w:widowControl w:val="0"/>
        <w:ind w:firstLine="709"/>
        <w:jc w:val="center"/>
        <w:rPr>
          <w:rFonts w:ascii="Times New Roman" w:hAnsi="Times New Roman"/>
          <w:szCs w:val="24"/>
        </w:rPr>
      </w:pPr>
      <w:r w:rsidRPr="001943D6">
        <w:rPr>
          <w:rFonts w:ascii="Times New Roman" w:hAnsi="Times New Roman"/>
          <w:noProof/>
          <w:szCs w:val="24"/>
          <w:lang w:eastAsia="ru-RU"/>
        </w:rPr>
        <w:drawing>
          <wp:inline distT="0" distB="0" distL="0" distR="0">
            <wp:extent cx="4822613" cy="3061546"/>
            <wp:effectExtent l="0" t="0" r="0" b="0"/>
            <wp:docPr id="23" name="Объект 10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6286520"/>
                      <a:chOff x="0" y="571480"/>
                      <a:chExt cx="9144000" cy="6286520"/>
                    </a:xfrm>
                  </a:grpSpPr>
                  <a:graphicFrame>
                    <a:nvGraphicFramePr>
                      <a:cNvPr id="2" name="Схема 1"/>
                      <a:cNvGraphicFramePr/>
                    </a:nvGraphicFramePr>
                    <a:graphic>
                      <a:graphicData uri="http://schemas.openxmlformats.org/drawingml/2006/diagram">
                        <dgm:relIds xmlns:dgm="http://schemas.openxmlformats.org/drawingml/2006/diagram" xmlns:r="http://schemas.openxmlformats.org/officeDocument/2006/relationships" r:dm="rId29" r:lo="rId30" r:qs="rId31" r:cs="rId32"/>
                      </a:graphicData>
                    </a:graphic>
                    <a:xfrm>
                      <a:off x="0" y="642894"/>
                      <a:ext cx="9144000" cy="6215106"/>
                    </a:xfrm>
                  </a:graphicFrame>
                  <a:sp>
                    <a:nvSpPr>
                      <a:cNvPr id="4" name="Левая фигурная скобка 3"/>
                      <a:cNvSpPr/>
                    </a:nvSpPr>
                    <a:spPr>
                      <a:xfrm>
                        <a:off x="714375" y="571480"/>
                        <a:ext cx="428601" cy="2286015"/>
                      </a:xfrm>
                      <a:prstGeom prst="leftBrace">
                        <a:avLst/>
                      </a:prstGeom>
                      <a:ln w="19050">
                        <a:solidFill>
                          <a:schemeClr val="accent6"/>
                        </a:solidFill>
                      </a:ln>
                    </a:spPr>
                    <a:txSp>
                      <a:txBody>
                        <a:bodyPr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ru-RU"/>
                        </a:p>
                      </a:txBody>
                      <a:useSpRect/>
                    </a:txSp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sp>
                  <a:sp>
                    <a:nvSpPr>
                      <a:cNvPr id="5" name="TextBox 4"/>
                      <a:cNvSpPr txBox="1"/>
                    </a:nvSpPr>
                    <a:spPr>
                      <a:xfrm>
                        <a:off x="0" y="928670"/>
                        <a:ext cx="615553" cy="150019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vert="vert270" wrap="squar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5pPr>
                          <a:lvl6pPr marL="22860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6pPr>
                          <a:lvl7pPr marL="27432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7pPr>
                          <a:lvl8pPr marL="32004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8pPr>
                          <a:lvl9pPr marL="36576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9pPr>
                        </a:lstStyle>
                        <a:p>
                          <a:pPr marL="285750" indent="-285750" algn="ctr">
                            <a:defRPr/>
                          </a:pPr>
                          <a:r>
                            <a:rPr lang="ru-RU" sz="1400" b="1" dirty="0" smtClean="0"/>
                            <a:t>Деградация. </a:t>
                          </a:r>
                        </a:p>
                        <a:p>
                          <a:pPr marL="285750" indent="-285750" algn="ctr">
                            <a:defRPr/>
                          </a:pPr>
                          <a:r>
                            <a:rPr lang="ru-RU" sz="1400" b="1" dirty="0" smtClean="0"/>
                            <a:t>Область </a:t>
                          </a:r>
                          <a:r>
                            <a:rPr lang="en-US" sz="1400" b="1" dirty="0" smtClean="0"/>
                            <a:t>I</a:t>
                          </a:r>
                          <a:endParaRPr lang="ru-RU" sz="1400" b="1" dirty="0"/>
                        </a:p>
                      </a:txBody>
                      <a:useSpRect/>
                    </a:txSp>
                  </a:sp>
                  <a:sp>
                    <a:nvSpPr>
                      <a:cNvPr id="8" name="Левая фигурная скобка 7"/>
                      <a:cNvSpPr/>
                    </a:nvSpPr>
                    <a:spPr>
                      <a:xfrm>
                        <a:off x="642910" y="6215082"/>
                        <a:ext cx="428628" cy="642918"/>
                      </a:xfrm>
                      <a:prstGeom prst="leftBrace">
                        <a:avLst/>
                      </a:prstGeom>
                      <a:ln w="19050">
                        <a:solidFill>
                          <a:schemeClr val="accent6"/>
                        </a:solidFill>
                      </a:ln>
                    </a:spPr>
                    <a:txSp>
                      <a:txBody>
                        <a:bodyPr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ru-RU"/>
                        </a:p>
                      </a:txBody>
                      <a:useSpRect/>
                    </a:txSp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sp>
                  <a:sp>
                    <a:nvSpPr>
                      <a:cNvPr id="9" name="Левая фигурная скобка 8"/>
                      <a:cNvSpPr/>
                    </a:nvSpPr>
                    <a:spPr>
                      <a:xfrm>
                        <a:off x="714349" y="3000372"/>
                        <a:ext cx="357190" cy="3071834"/>
                      </a:xfrm>
                      <a:prstGeom prst="leftBrace">
                        <a:avLst/>
                      </a:prstGeom>
                      <a:ln w="19050">
                        <a:solidFill>
                          <a:schemeClr val="accent6"/>
                        </a:solidFill>
                      </a:ln>
                    </a:spPr>
                    <a:txSp>
                      <a:txBody>
                        <a:bodyPr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ru-RU"/>
                        </a:p>
                      </a:txBody>
                      <a:useSpRect/>
                    </a:txSp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sp>
                  <a:sp>
                    <a:nvSpPr>
                      <a:cNvPr id="10" name="TextBox 9"/>
                      <a:cNvSpPr txBox="1"/>
                    </a:nvSpPr>
                    <a:spPr>
                      <a:xfrm>
                        <a:off x="0" y="2857496"/>
                        <a:ext cx="615553" cy="3000396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vert="vert270" wrap="squar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5pPr>
                          <a:lvl6pPr marL="22860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6pPr>
                          <a:lvl7pPr marL="27432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7pPr>
                          <a:lvl8pPr marL="32004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8pPr>
                          <a:lvl9pPr marL="36576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9pPr>
                        </a:lstStyle>
                        <a:p>
                          <a:pPr marL="285750" indent="-285750" algn="ctr">
                            <a:defRPr/>
                          </a:pPr>
                          <a:r>
                            <a:rPr lang="ru-RU" sz="1400" b="1" dirty="0" err="1" smtClean="0"/>
                            <a:t>Деградационно-деструктивная</a:t>
                          </a:r>
                          <a:r>
                            <a:rPr lang="ru-RU" sz="1400" b="1" dirty="0" smtClean="0"/>
                            <a:t> область </a:t>
                          </a:r>
                          <a:r>
                            <a:rPr lang="en-US" sz="1400" b="1" dirty="0" smtClean="0"/>
                            <a:t>II</a:t>
                          </a:r>
                          <a:endParaRPr lang="ru-RU" sz="1400" b="1" dirty="0"/>
                        </a:p>
                      </a:txBody>
                      <a:useSpRect/>
                    </a:txSp>
                  </a:sp>
                  <a:sp>
                    <a:nvSpPr>
                      <a:cNvPr id="11" name="TextBox 10"/>
                      <a:cNvSpPr txBox="1"/>
                    </a:nvSpPr>
                    <a:spPr>
                      <a:xfrm>
                        <a:off x="0" y="5715016"/>
                        <a:ext cx="615553" cy="1142984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vert="vert270" wrap="squar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5pPr>
                          <a:lvl6pPr marL="22860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6pPr>
                          <a:lvl7pPr marL="27432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7pPr>
                          <a:lvl8pPr marL="32004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8pPr>
                          <a:lvl9pPr marL="3657600" algn="l" defTabSz="914400" rtl="0" eaLnBrk="1" latinLnBrk="0" hangingPunct="1">
                            <a:defRPr sz="2700" kern="1200">
                              <a:solidFill>
                                <a:schemeClr val="tx1"/>
                              </a:solidFill>
                              <a:latin typeface="Times New Roman" pitchFamily="18" charset="0"/>
                              <a:ea typeface="+mn-ea"/>
                              <a:cs typeface="Times New Roman" pitchFamily="18" charset="0"/>
                            </a:defRPr>
                          </a:lvl9pPr>
                        </a:lstStyle>
                        <a:p>
                          <a:pPr marL="285750" indent="-285750" algn="ctr">
                            <a:defRPr/>
                          </a:pPr>
                          <a:r>
                            <a:rPr lang="ru-RU" sz="1400" b="1" dirty="0" smtClean="0"/>
                            <a:t>Деструкция.</a:t>
                          </a:r>
                        </a:p>
                        <a:p>
                          <a:pPr marL="285750" indent="-285750" algn="ctr">
                            <a:defRPr/>
                          </a:pPr>
                          <a:r>
                            <a:rPr lang="ru-RU" sz="1400" b="1" dirty="0" smtClean="0"/>
                            <a:t>Область </a:t>
                          </a:r>
                          <a:r>
                            <a:rPr lang="en-US" sz="1400" b="1" dirty="0" smtClean="0"/>
                            <a:t>I</a:t>
                          </a:r>
                          <a:endParaRPr lang="ru-RU" sz="1400" b="1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F855BB" w:rsidRDefault="00F855BB" w:rsidP="00F855BB">
      <w:pPr>
        <w:widowControl w:val="0"/>
        <w:ind w:firstLine="709"/>
        <w:jc w:val="center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Рис</w:t>
      </w:r>
      <w:r w:rsidR="003002E5">
        <w:rPr>
          <w:rFonts w:ascii="Times New Roman" w:hAnsi="Times New Roman"/>
          <w:szCs w:val="24"/>
        </w:rPr>
        <w:t>.</w:t>
      </w:r>
      <w:r w:rsidR="00932F27">
        <w:rPr>
          <w:rFonts w:ascii="Times New Roman" w:hAnsi="Times New Roman"/>
          <w:szCs w:val="24"/>
        </w:rPr>
        <w:t xml:space="preserve"> 14 </w:t>
      </w:r>
      <w:r>
        <w:rPr>
          <w:rFonts w:ascii="Times New Roman" w:hAnsi="Times New Roman"/>
          <w:szCs w:val="24"/>
        </w:rPr>
        <w:t xml:space="preserve"> Феноменологическая модель водородной повреждаемости </w:t>
      </w:r>
    </w:p>
    <w:p w:rsidR="00F855BB" w:rsidRDefault="00F855BB" w:rsidP="00F855BB">
      <w:pPr>
        <w:widowControl w:val="0"/>
        <w:ind w:firstLine="709"/>
        <w:jc w:val="center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малоуглеродистых сталей</w:t>
      </w:r>
    </w:p>
    <w:p w:rsidR="00F855BB" w:rsidRDefault="00F855BB" w:rsidP="00F855BB">
      <w:pPr>
        <w:widowControl w:val="0"/>
        <w:ind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ЗАКЛЮЧЕНИЕ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Изучили </w:t>
      </w:r>
      <w:r>
        <w:rPr>
          <w:rFonts w:ascii="Times New Roman" w:hAnsi="Times New Roman"/>
          <w:i/>
          <w:sz w:val="24"/>
          <w:szCs w:val="24"/>
        </w:rPr>
        <w:t>индивидуальные</w:t>
      </w:r>
      <w:r>
        <w:rPr>
          <w:rFonts w:ascii="Times New Roman" w:hAnsi="Times New Roman"/>
          <w:sz w:val="24"/>
          <w:szCs w:val="24"/>
        </w:rPr>
        <w:t xml:space="preserve"> особенности и </w:t>
      </w:r>
      <w:r>
        <w:rPr>
          <w:rFonts w:ascii="Times New Roman" w:hAnsi="Times New Roman"/>
          <w:i/>
          <w:sz w:val="24"/>
          <w:szCs w:val="24"/>
        </w:rPr>
        <w:t>совместную роль</w:t>
      </w:r>
      <w:r>
        <w:rPr>
          <w:rFonts w:ascii="Times New Roman" w:hAnsi="Times New Roman"/>
          <w:sz w:val="24"/>
          <w:szCs w:val="24"/>
        </w:rPr>
        <w:t xml:space="preserve"> деградации и деструкции в развитии повреждаемости и их влияние на структуру и свойства (разных масштабных уро</w:t>
      </w:r>
      <w:r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>ней) железоуглеродистых сплавов. Подтвердили обоснованность использования для изуч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ния повреждаемости комплекса кинетического, статистического и синергетического подх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дов. Доказали эффективность использования для анализа развивающегося в ходе поврежда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мости разномасштабного диссипативного процесса характеристик релаксационных эффектов внутреннего трения.  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ind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ОСНОВНЫЕ ВЫВОДЫ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Впервые на основе анализа параметров неупругих эффектов ВТ, параметров тонкой структуры, количества и геометрии микротрещин, получены новые данные, свидетельс</w:t>
      </w:r>
      <w:r>
        <w:rPr>
          <w:rFonts w:ascii="Times New Roman" w:hAnsi="Times New Roman"/>
          <w:sz w:val="24"/>
          <w:szCs w:val="24"/>
        </w:rPr>
        <w:t>т</w:t>
      </w:r>
      <w:r>
        <w:rPr>
          <w:rFonts w:ascii="Times New Roman" w:hAnsi="Times New Roman"/>
          <w:sz w:val="24"/>
          <w:szCs w:val="24"/>
        </w:rPr>
        <w:t>вующие о совместном протекании и взаимном влиянии деградационных и деструктивных процессов в ходе статического деформирования (</w:t>
      </w:r>
      <w:r>
        <w:rPr>
          <w:rFonts w:ascii="Times New Roman" w:hAnsi="Times New Roman"/>
          <w:sz w:val="28"/>
          <w:szCs w:val="28"/>
        </w:rPr>
        <w:t>ε</w:t>
      </w:r>
      <w:r>
        <w:rPr>
          <w:rFonts w:ascii="Times New Roman" w:hAnsi="Times New Roman"/>
          <w:sz w:val="24"/>
          <w:szCs w:val="24"/>
        </w:rPr>
        <w:t xml:space="preserve">=0…20  %) сталей 20, Ст3, 08Г2С и сплава  </w:t>
      </w:r>
      <w:r>
        <w:rPr>
          <w:rFonts w:ascii="Times New Roman" w:hAnsi="Times New Roman"/>
          <w:i/>
          <w:sz w:val="24"/>
          <w:szCs w:val="24"/>
          <w:lang w:val="en-US"/>
        </w:rPr>
        <w:t>Fe</w:t>
      </w:r>
      <w:r>
        <w:rPr>
          <w:rFonts w:ascii="Times New Roman" w:hAnsi="Times New Roman"/>
          <w:sz w:val="24"/>
          <w:szCs w:val="24"/>
        </w:rPr>
        <w:t xml:space="preserve">-0,09 % </w:t>
      </w:r>
      <w:r>
        <w:rPr>
          <w:rFonts w:ascii="Times New Roman" w:hAnsi="Times New Roman"/>
          <w:i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 и электролитического наводороживания (</w:t>
      </w:r>
      <w:r>
        <w:rPr>
          <w:rFonts w:ascii="Times New Roman" w:hAnsi="Times New Roman"/>
          <w:i/>
          <w:sz w:val="24"/>
          <w:szCs w:val="24"/>
          <w:lang w:val="en-US"/>
        </w:rPr>
        <w:t>j</w:t>
      </w:r>
      <w:r>
        <w:rPr>
          <w:rFonts w:ascii="Times New Roman" w:hAnsi="Times New Roman"/>
          <w:sz w:val="24"/>
          <w:szCs w:val="24"/>
        </w:rPr>
        <w:t>=60…160 А/м</w:t>
      </w:r>
      <w:r>
        <w:rPr>
          <w:rFonts w:ascii="Times New Roman" w:hAnsi="Times New Roman"/>
          <w:sz w:val="24"/>
          <w:szCs w:val="24"/>
          <w:vertAlign w:val="superscript"/>
        </w:rPr>
        <w:t>2</w:t>
      </w:r>
      <w:r>
        <w:rPr>
          <w:rFonts w:ascii="Times New Roman" w:hAnsi="Times New Roman"/>
          <w:sz w:val="24"/>
          <w:szCs w:val="24"/>
        </w:rPr>
        <w:t>) малоуглеродистых сталей 20, Ст3.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На основе комплексной концепции развития поврежденности железоуглеродистых сплавов как открытой системы развиты представления о стадийности деформационной и в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дородной повреждаемости исследованных сплавов; определены границы стадий поврежда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мости для условий статического деформирования и электролитического наводороживания.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Разработаны и экспериментально подтверждены феноменологические модели ра</w:t>
      </w:r>
      <w:r>
        <w:rPr>
          <w:rFonts w:ascii="Times New Roman" w:hAnsi="Times New Roman"/>
          <w:sz w:val="24"/>
          <w:szCs w:val="24"/>
        </w:rPr>
        <w:t>з</w:t>
      </w:r>
      <w:r>
        <w:rPr>
          <w:rFonts w:ascii="Times New Roman" w:hAnsi="Times New Roman"/>
          <w:sz w:val="24"/>
          <w:szCs w:val="24"/>
        </w:rPr>
        <w:t>вития деградации и деструкции исследованных сталей в ходе статического деформирования и электролитического наводороживания.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Выявлены общие закономерности повреждаемости при статическом деформиров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lastRenderedPageBreak/>
        <w:t xml:space="preserve">нии в диапазоне </w:t>
      </w:r>
      <w:r>
        <w:rPr>
          <w:rFonts w:ascii="Times New Roman" w:hAnsi="Times New Roman"/>
          <w:sz w:val="28"/>
          <w:szCs w:val="28"/>
        </w:rPr>
        <w:t>ε</w:t>
      </w:r>
      <w:r>
        <w:rPr>
          <w:rFonts w:ascii="Times New Roman" w:hAnsi="Times New Roman"/>
          <w:sz w:val="24"/>
          <w:szCs w:val="24"/>
        </w:rPr>
        <w:t xml:space="preserve">=0…20 % сталей 20, Ст3, 08Г2С и сплава  </w:t>
      </w:r>
      <w:r>
        <w:rPr>
          <w:rFonts w:ascii="Times New Roman" w:hAnsi="Times New Roman"/>
          <w:i/>
          <w:sz w:val="24"/>
          <w:szCs w:val="24"/>
          <w:lang w:val="en-US"/>
        </w:rPr>
        <w:t>Fe</w:t>
      </w:r>
      <w:r>
        <w:rPr>
          <w:rFonts w:ascii="Times New Roman" w:hAnsi="Times New Roman"/>
          <w:sz w:val="24"/>
          <w:szCs w:val="24"/>
        </w:rPr>
        <w:t xml:space="preserve">-0,09 % </w:t>
      </w:r>
      <w:r>
        <w:rPr>
          <w:rFonts w:ascii="Times New Roman" w:hAnsi="Times New Roman"/>
          <w:i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, проявляющиеся в периодическом формировании областей различной динамики совместного развития деград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ции и деструкции с превалирующим влиянием каждого из процессов. </w:t>
      </w:r>
    </w:p>
    <w:p w:rsidR="00F855BB" w:rsidRDefault="00F855BB" w:rsidP="00F855BB">
      <w:pPr>
        <w:widowControl w:val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 Экспериментально обнаружено в деформированных стали 20 и сплаве </w:t>
      </w:r>
      <w:r>
        <w:rPr>
          <w:rFonts w:ascii="Times New Roman" w:hAnsi="Times New Roman"/>
          <w:i/>
          <w:sz w:val="24"/>
          <w:szCs w:val="24"/>
          <w:lang w:val="en-US"/>
        </w:rPr>
        <w:t>Fe</w:t>
      </w:r>
      <w:r>
        <w:rPr>
          <w:rFonts w:ascii="Times New Roman" w:hAnsi="Times New Roman"/>
          <w:sz w:val="24"/>
          <w:szCs w:val="24"/>
        </w:rPr>
        <w:t xml:space="preserve">-0,09 % </w:t>
      </w:r>
      <w:r>
        <w:rPr>
          <w:rFonts w:ascii="Times New Roman" w:hAnsi="Times New Roman"/>
          <w:i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 xml:space="preserve"> перераспределение углерода в феррите после предварительного статического деформиров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ния в интервале </w:t>
      </w:r>
      <w:r>
        <w:rPr>
          <w:rFonts w:ascii="Times New Roman" w:hAnsi="Times New Roman"/>
          <w:sz w:val="28"/>
          <w:szCs w:val="28"/>
        </w:rPr>
        <w:t xml:space="preserve">ε </w:t>
      </w:r>
      <w:r>
        <w:rPr>
          <w:rFonts w:ascii="Times New Roman" w:hAnsi="Times New Roman"/>
          <w:sz w:val="24"/>
          <w:szCs w:val="24"/>
        </w:rPr>
        <w:t xml:space="preserve">= 0…20 %. Высказана гипотеза о миграции </w:t>
      </w:r>
      <w:r>
        <w:rPr>
          <w:rFonts w:ascii="Times New Roman" w:hAnsi="Times New Roman"/>
          <w:i/>
          <w:sz w:val="24"/>
          <w:szCs w:val="24"/>
          <w:lang w:val="en-US"/>
        </w:rPr>
        <w:t>C</w:t>
      </w:r>
      <w:r>
        <w:rPr>
          <w:rFonts w:ascii="Times New Roman" w:hAnsi="Times New Roman"/>
          <w:i/>
          <w:sz w:val="24"/>
          <w:szCs w:val="24"/>
        </w:rPr>
        <w:t>,</w:t>
      </w:r>
      <w:r>
        <w:rPr>
          <w:rFonts w:ascii="Times New Roman" w:hAnsi="Times New Roman"/>
          <w:i/>
          <w:sz w:val="24"/>
          <w:szCs w:val="24"/>
          <w:lang w:val="en-US"/>
        </w:rPr>
        <w:t>N</w:t>
      </w:r>
      <w:r>
        <w:rPr>
          <w:rFonts w:ascii="Times New Roman" w:hAnsi="Times New Roman"/>
          <w:sz w:val="24"/>
          <w:szCs w:val="24"/>
        </w:rPr>
        <w:t xml:space="preserve"> к ювенильным поверхн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стям и изменении их рельефа (реализация растворно-осадительного механизма) и влиянии этих процессов на микроискажения в объёме и локальных зонах их концентрации.  </w:t>
      </w:r>
    </w:p>
    <w:p w:rsidR="00F855BB" w:rsidRDefault="00F855BB" w:rsidP="00F855BB">
      <w:pPr>
        <w:pStyle w:val="21"/>
        <w:widowControl w:val="0"/>
        <w:tabs>
          <w:tab w:val="left" w:pos="142"/>
          <w:tab w:val="left" w:pos="709"/>
          <w:tab w:val="left" w:pos="1134"/>
        </w:tabs>
        <w:overflowPunct/>
        <w:autoSpaceDE/>
        <w:autoSpaceDN/>
        <w:adjustRightInd/>
        <w:ind w:firstLine="0"/>
        <w:jc w:val="both"/>
        <w:textAlignment w:val="auto"/>
        <w:rPr>
          <w:szCs w:val="24"/>
        </w:rPr>
      </w:pPr>
      <w:r>
        <w:rPr>
          <w:szCs w:val="24"/>
        </w:rPr>
        <w:t xml:space="preserve">           6. Определена величина порогового напряжения (~130 МПа) в водородных коллект</w:t>
      </w:r>
      <w:r>
        <w:rPr>
          <w:szCs w:val="24"/>
        </w:rPr>
        <w:t>о</w:t>
      </w:r>
      <w:r>
        <w:rPr>
          <w:szCs w:val="24"/>
        </w:rPr>
        <w:t>рах,  превышение которых приводит к активному охрупчиванию малоуглеродистых сталей при электролитическом насыщении с реализацией эффекта водородной локализации пл</w:t>
      </w:r>
      <w:r>
        <w:rPr>
          <w:szCs w:val="24"/>
        </w:rPr>
        <w:t>а</w:t>
      </w:r>
      <w:r>
        <w:rPr>
          <w:szCs w:val="24"/>
        </w:rPr>
        <w:t>стичности.</w:t>
      </w:r>
    </w:p>
    <w:p w:rsidR="00F855BB" w:rsidRDefault="00F855BB" w:rsidP="00F855BB">
      <w:pPr>
        <w:pStyle w:val="21"/>
        <w:widowControl w:val="0"/>
        <w:tabs>
          <w:tab w:val="left" w:pos="284"/>
          <w:tab w:val="left" w:pos="709"/>
          <w:tab w:val="left" w:pos="1134"/>
        </w:tabs>
        <w:overflowPunct/>
        <w:autoSpaceDE/>
        <w:autoSpaceDN/>
        <w:adjustRightInd/>
        <w:ind w:firstLine="0"/>
        <w:jc w:val="both"/>
        <w:textAlignment w:val="auto"/>
        <w:rPr>
          <w:szCs w:val="24"/>
        </w:rPr>
      </w:pPr>
      <w:r>
        <w:rPr>
          <w:szCs w:val="24"/>
        </w:rPr>
        <w:t xml:space="preserve">          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b/>
          <w:sz w:val="24"/>
          <w:szCs w:val="24"/>
        </w:rPr>
      </w:pPr>
    </w:p>
    <w:p w:rsidR="00330C6E" w:rsidRDefault="00330C6E" w:rsidP="00267C22">
      <w:pPr>
        <w:widowControl w:val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ОСНОВНЫЕ ПУБЛИКАЦИИ ПО ТЕМЕ ДИССЕРТАЦИИ</w:t>
      </w:r>
    </w:p>
    <w:p w:rsidR="00932F27" w:rsidRDefault="00267C22" w:rsidP="00F855BB">
      <w:pPr>
        <w:widowControl w:val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</w:t>
      </w:r>
    </w:p>
    <w:p w:rsidR="00330C6E" w:rsidRDefault="00F855BB" w:rsidP="00932F27">
      <w:pPr>
        <w:widowControl w:val="0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  <w:r w:rsidR="00330C6E">
        <w:rPr>
          <w:rFonts w:ascii="Times New Roman" w:hAnsi="Times New Roman"/>
          <w:b/>
          <w:sz w:val="24"/>
          <w:szCs w:val="24"/>
        </w:rPr>
        <w:t xml:space="preserve">публикации в рецензируемых научных журналах и изданиях: 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 Чуканов</w:t>
      </w:r>
      <w:r w:rsidR="00932F27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А.Н. Развитие деградации и начальные стадии повреждаемости малоуглерод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стой стали при деформировании</w:t>
      </w:r>
      <w:r w:rsidR="00330C6E">
        <w:rPr>
          <w:rFonts w:ascii="Times New Roman" w:hAnsi="Times New Roman"/>
          <w:sz w:val="24"/>
          <w:szCs w:val="24"/>
        </w:rPr>
        <w:t xml:space="preserve"> </w:t>
      </w:r>
      <w:r w:rsidR="00330C6E" w:rsidRPr="00330C6E">
        <w:rPr>
          <w:rFonts w:ascii="Times New Roman" w:hAnsi="Times New Roman"/>
          <w:sz w:val="24"/>
          <w:szCs w:val="24"/>
        </w:rPr>
        <w:t>[</w:t>
      </w:r>
      <w:r w:rsidR="00330C6E">
        <w:rPr>
          <w:rFonts w:ascii="Times New Roman" w:hAnsi="Times New Roman"/>
          <w:sz w:val="24"/>
          <w:szCs w:val="24"/>
        </w:rPr>
        <w:t>Текст</w:t>
      </w:r>
      <w:r w:rsidR="00330C6E" w:rsidRPr="00330C6E">
        <w:rPr>
          <w:rFonts w:ascii="Times New Roman" w:hAnsi="Times New Roman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 </w:t>
      </w:r>
      <w:r w:rsidR="00330C6E">
        <w:rPr>
          <w:rFonts w:ascii="Times New Roman" w:hAnsi="Times New Roman"/>
          <w:sz w:val="24"/>
          <w:szCs w:val="24"/>
        </w:rPr>
        <w:t xml:space="preserve">/ А.Н.Чуканов, </w:t>
      </w:r>
      <w:r w:rsidR="00330C6E" w:rsidRPr="00330C6E">
        <w:rPr>
          <w:rFonts w:ascii="Times New Roman" w:hAnsi="Times New Roman"/>
          <w:b/>
          <w:sz w:val="24"/>
          <w:szCs w:val="24"/>
        </w:rPr>
        <w:t>А.А. Яковенко</w:t>
      </w:r>
      <w:r w:rsidR="00330C6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// Известия Тульск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го государственного университета. Естественные науки. – Вып.1. - 2010. - С. 160-166.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2. </w:t>
      </w:r>
      <w:r>
        <w:rPr>
          <w:rFonts w:ascii="Times New Roman" w:hAnsi="Times New Roman"/>
          <w:sz w:val="24"/>
          <w:szCs w:val="24"/>
        </w:rPr>
        <w:t>Чуканов</w:t>
      </w:r>
      <w:r w:rsidR="00932F27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А.Н.</w:t>
      </w:r>
      <w:r w:rsidR="00330C6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Развитие деградации и начальные стадии разрушения малоуглеродистой стали</w:t>
      </w:r>
      <w:r w:rsidR="00330C6E">
        <w:rPr>
          <w:rFonts w:ascii="Times New Roman" w:hAnsi="Times New Roman"/>
          <w:sz w:val="24"/>
          <w:szCs w:val="24"/>
        </w:rPr>
        <w:t xml:space="preserve"> </w:t>
      </w:r>
      <w:r w:rsidR="00330C6E" w:rsidRPr="00330C6E">
        <w:rPr>
          <w:rFonts w:ascii="Times New Roman" w:hAnsi="Times New Roman"/>
          <w:sz w:val="24"/>
          <w:szCs w:val="24"/>
        </w:rPr>
        <w:t>[</w:t>
      </w:r>
      <w:r w:rsidR="00330C6E">
        <w:rPr>
          <w:rFonts w:ascii="Times New Roman" w:hAnsi="Times New Roman"/>
          <w:sz w:val="24"/>
          <w:szCs w:val="24"/>
        </w:rPr>
        <w:t>Текст</w:t>
      </w:r>
      <w:r w:rsidR="00330C6E" w:rsidRPr="00330C6E">
        <w:rPr>
          <w:rFonts w:ascii="Times New Roman" w:hAnsi="Times New Roman"/>
          <w:sz w:val="24"/>
          <w:szCs w:val="24"/>
        </w:rPr>
        <w:t>]</w:t>
      </w:r>
      <w:r w:rsidR="00330C6E">
        <w:rPr>
          <w:rFonts w:ascii="Times New Roman" w:hAnsi="Times New Roman"/>
          <w:sz w:val="24"/>
          <w:szCs w:val="24"/>
        </w:rPr>
        <w:t xml:space="preserve"> / А.Н.Чуканов, </w:t>
      </w:r>
      <w:r w:rsidR="00330C6E" w:rsidRPr="00330C6E">
        <w:rPr>
          <w:rFonts w:ascii="Times New Roman" w:hAnsi="Times New Roman"/>
          <w:b/>
          <w:sz w:val="24"/>
          <w:szCs w:val="24"/>
        </w:rPr>
        <w:t>А.А. Яковенко</w:t>
      </w:r>
      <w:r>
        <w:rPr>
          <w:rFonts w:ascii="Times New Roman" w:hAnsi="Times New Roman"/>
          <w:sz w:val="24"/>
          <w:szCs w:val="24"/>
        </w:rPr>
        <w:t xml:space="preserve"> // Вестник Тамбовского университета. Серия: Естественные и технические науки.- 2010. - Т.15. - Вып.-3. – С. 985-986.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330C6E">
        <w:rPr>
          <w:rFonts w:ascii="Times New Roman" w:hAnsi="Times New Roman"/>
          <w:b/>
          <w:sz w:val="24"/>
          <w:szCs w:val="24"/>
        </w:rPr>
        <w:t>Яковенко</w:t>
      </w:r>
      <w:r w:rsidR="00932F27">
        <w:rPr>
          <w:rFonts w:ascii="Times New Roman" w:hAnsi="Times New Roman"/>
          <w:b/>
          <w:sz w:val="24"/>
          <w:szCs w:val="24"/>
        </w:rPr>
        <w:t>,</w:t>
      </w:r>
      <w:r w:rsidRPr="00330C6E">
        <w:rPr>
          <w:rFonts w:ascii="Times New Roman" w:hAnsi="Times New Roman"/>
          <w:b/>
          <w:sz w:val="24"/>
          <w:szCs w:val="24"/>
        </w:rPr>
        <w:t xml:space="preserve"> А.А.</w:t>
      </w:r>
      <w:r>
        <w:rPr>
          <w:rFonts w:ascii="Times New Roman" w:hAnsi="Times New Roman"/>
          <w:sz w:val="24"/>
          <w:szCs w:val="24"/>
        </w:rPr>
        <w:t xml:space="preserve"> Роль водорода в деградации и накоплении поврежденности малоуглер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дистой стали</w:t>
      </w:r>
      <w:r w:rsidR="00330C6E">
        <w:rPr>
          <w:rFonts w:ascii="Times New Roman" w:hAnsi="Times New Roman"/>
          <w:sz w:val="24"/>
          <w:szCs w:val="24"/>
        </w:rPr>
        <w:t xml:space="preserve"> </w:t>
      </w:r>
      <w:r w:rsidR="00330C6E" w:rsidRPr="00330C6E">
        <w:rPr>
          <w:rFonts w:ascii="Times New Roman" w:hAnsi="Times New Roman"/>
          <w:sz w:val="24"/>
          <w:szCs w:val="24"/>
        </w:rPr>
        <w:t>[</w:t>
      </w:r>
      <w:r w:rsidR="00330C6E">
        <w:rPr>
          <w:rFonts w:ascii="Times New Roman" w:hAnsi="Times New Roman"/>
          <w:sz w:val="24"/>
          <w:szCs w:val="24"/>
        </w:rPr>
        <w:t>Текст</w:t>
      </w:r>
      <w:r w:rsidR="00330C6E" w:rsidRPr="00330C6E">
        <w:rPr>
          <w:rFonts w:ascii="Times New Roman" w:hAnsi="Times New Roman"/>
          <w:sz w:val="24"/>
          <w:szCs w:val="24"/>
        </w:rPr>
        <w:t>]</w:t>
      </w:r>
      <w:r w:rsidR="00330C6E">
        <w:rPr>
          <w:rFonts w:ascii="Times New Roman" w:hAnsi="Times New Roman"/>
          <w:sz w:val="24"/>
          <w:szCs w:val="24"/>
        </w:rPr>
        <w:t xml:space="preserve"> / </w:t>
      </w:r>
      <w:r w:rsidR="00330C6E" w:rsidRPr="00330C6E">
        <w:rPr>
          <w:rFonts w:ascii="Times New Roman" w:hAnsi="Times New Roman"/>
          <w:b/>
          <w:sz w:val="24"/>
          <w:szCs w:val="24"/>
        </w:rPr>
        <w:t>А.А. Яковенко</w:t>
      </w:r>
      <w:r>
        <w:rPr>
          <w:rFonts w:ascii="Times New Roman" w:hAnsi="Times New Roman"/>
          <w:sz w:val="24"/>
          <w:szCs w:val="24"/>
        </w:rPr>
        <w:t xml:space="preserve"> // Вестник Тамбовского университета. Серия: Естес</w:t>
      </w:r>
      <w:r>
        <w:rPr>
          <w:rFonts w:ascii="Times New Roman" w:hAnsi="Times New Roman"/>
          <w:sz w:val="24"/>
          <w:szCs w:val="24"/>
        </w:rPr>
        <w:t>т</w:t>
      </w:r>
      <w:r>
        <w:rPr>
          <w:rFonts w:ascii="Times New Roman" w:hAnsi="Times New Roman"/>
          <w:sz w:val="24"/>
          <w:szCs w:val="24"/>
        </w:rPr>
        <w:t>венные и технические науки.- 2010. - Т.15. - Вып.-3. – С. 1283-1286.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 Чуканов</w:t>
      </w:r>
      <w:r w:rsidR="00932F27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А.Н. Роль водорода в деградации и деструкции сплавов системы </w:t>
      </w:r>
      <w:r>
        <w:rPr>
          <w:rFonts w:ascii="Times New Roman" w:hAnsi="Times New Roman"/>
          <w:sz w:val="24"/>
          <w:szCs w:val="24"/>
          <w:lang w:val="en-US"/>
        </w:rPr>
        <w:t>Fe</w:t>
      </w:r>
      <w:r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 xml:space="preserve"> </w:t>
      </w:r>
      <w:r w:rsidR="00330C6E" w:rsidRPr="00330C6E">
        <w:rPr>
          <w:rFonts w:ascii="Times New Roman" w:hAnsi="Times New Roman"/>
          <w:sz w:val="24"/>
          <w:szCs w:val="24"/>
        </w:rPr>
        <w:t>[</w:t>
      </w:r>
      <w:r w:rsidR="00330C6E">
        <w:rPr>
          <w:rFonts w:ascii="Times New Roman" w:hAnsi="Times New Roman"/>
          <w:sz w:val="24"/>
          <w:szCs w:val="24"/>
        </w:rPr>
        <w:t>Текст</w:t>
      </w:r>
      <w:r w:rsidR="00330C6E" w:rsidRPr="00330C6E">
        <w:rPr>
          <w:rFonts w:ascii="Times New Roman" w:hAnsi="Times New Roman"/>
          <w:sz w:val="24"/>
          <w:szCs w:val="24"/>
        </w:rPr>
        <w:t>]</w:t>
      </w:r>
      <w:r w:rsidR="00330C6E">
        <w:rPr>
          <w:rFonts w:ascii="Times New Roman" w:hAnsi="Times New Roman"/>
          <w:sz w:val="24"/>
          <w:szCs w:val="24"/>
        </w:rPr>
        <w:t xml:space="preserve"> / А.Н.Чуканов, </w:t>
      </w:r>
      <w:r w:rsidR="00330C6E" w:rsidRPr="00330C6E">
        <w:rPr>
          <w:rFonts w:ascii="Times New Roman" w:hAnsi="Times New Roman"/>
          <w:b/>
          <w:sz w:val="24"/>
          <w:szCs w:val="24"/>
        </w:rPr>
        <w:t>А.А. Яковенко</w:t>
      </w:r>
      <w:r w:rsidR="00330C6E">
        <w:rPr>
          <w:rFonts w:ascii="Times New Roman" w:hAnsi="Times New Roman"/>
          <w:sz w:val="24"/>
          <w:szCs w:val="24"/>
        </w:rPr>
        <w:t xml:space="preserve"> </w:t>
      </w:r>
      <w:r w:rsidR="006E1819">
        <w:rPr>
          <w:rFonts w:ascii="Times New Roman" w:hAnsi="Times New Roman"/>
          <w:sz w:val="24"/>
          <w:szCs w:val="24"/>
        </w:rPr>
        <w:t xml:space="preserve">, Е.В. Якунова </w:t>
      </w:r>
      <w:r>
        <w:rPr>
          <w:rFonts w:ascii="Times New Roman" w:hAnsi="Times New Roman"/>
          <w:sz w:val="24"/>
          <w:szCs w:val="24"/>
        </w:rPr>
        <w:t>// Естественные и технические науки.- 2011.- №1. – С. 21-23.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Чуканов</w:t>
      </w:r>
      <w:r w:rsidR="00932F27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А.Н.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Механическая спектроскопия в изучении стадийности деградации и разр</w:t>
      </w:r>
      <w:r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 xml:space="preserve">шения сталей 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 w:rsidR="006E1819" w:rsidRPr="00330C6E">
        <w:rPr>
          <w:rFonts w:ascii="Times New Roman" w:hAnsi="Times New Roman"/>
          <w:sz w:val="24"/>
          <w:szCs w:val="24"/>
        </w:rPr>
        <w:t>[</w:t>
      </w:r>
      <w:r w:rsidR="006E1819">
        <w:rPr>
          <w:rFonts w:ascii="Times New Roman" w:hAnsi="Times New Roman"/>
          <w:sz w:val="24"/>
          <w:szCs w:val="24"/>
        </w:rPr>
        <w:t>Текст</w:t>
      </w:r>
      <w:r w:rsidR="006E1819" w:rsidRPr="00330C6E">
        <w:rPr>
          <w:rFonts w:ascii="Times New Roman" w:hAnsi="Times New Roman"/>
          <w:sz w:val="24"/>
          <w:szCs w:val="24"/>
        </w:rPr>
        <w:t>]</w:t>
      </w:r>
      <w:r w:rsidR="006E1819">
        <w:rPr>
          <w:rFonts w:ascii="Times New Roman" w:hAnsi="Times New Roman"/>
          <w:sz w:val="24"/>
          <w:szCs w:val="24"/>
        </w:rPr>
        <w:t xml:space="preserve"> / А.Н.Чуканов, </w:t>
      </w:r>
      <w:r w:rsidR="006E1819" w:rsidRPr="00330C6E">
        <w:rPr>
          <w:rFonts w:ascii="Times New Roman" w:hAnsi="Times New Roman"/>
          <w:b/>
          <w:sz w:val="24"/>
          <w:szCs w:val="24"/>
        </w:rPr>
        <w:t>А.А. Яковенко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// Конденсированные среды и межфа</w:t>
      </w:r>
      <w:r>
        <w:rPr>
          <w:rFonts w:ascii="Times New Roman" w:hAnsi="Times New Roman"/>
          <w:sz w:val="24"/>
          <w:szCs w:val="24"/>
        </w:rPr>
        <w:t>з</w:t>
      </w:r>
      <w:r>
        <w:rPr>
          <w:rFonts w:ascii="Times New Roman" w:hAnsi="Times New Roman"/>
          <w:sz w:val="24"/>
          <w:szCs w:val="24"/>
        </w:rPr>
        <w:t>ные границы. – Т.3. - №3. – 2011. – С. 369-373.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>
        <w:rPr>
          <w:rFonts w:ascii="Times New Roman" w:hAnsi="Times New Roman"/>
          <w:bCs/>
          <w:sz w:val="24"/>
          <w:szCs w:val="24"/>
        </w:rPr>
        <w:t>6. Чуканов</w:t>
      </w:r>
      <w:r w:rsidR="00932F27">
        <w:rPr>
          <w:rFonts w:ascii="Times New Roman" w:hAnsi="Times New Roman"/>
          <w:bCs/>
          <w:sz w:val="24"/>
          <w:szCs w:val="24"/>
        </w:rPr>
        <w:t>,</w:t>
      </w:r>
      <w:r>
        <w:rPr>
          <w:rFonts w:ascii="Times New Roman" w:hAnsi="Times New Roman"/>
          <w:bCs/>
          <w:sz w:val="24"/>
          <w:szCs w:val="24"/>
        </w:rPr>
        <w:t xml:space="preserve"> А.Н. Использование и перспективы метода внутреннего трения в оценке дегр</w:t>
      </w:r>
      <w:r>
        <w:rPr>
          <w:rFonts w:ascii="Times New Roman" w:hAnsi="Times New Roman"/>
          <w:bCs/>
          <w:sz w:val="24"/>
          <w:szCs w:val="24"/>
        </w:rPr>
        <w:t>а</w:t>
      </w:r>
      <w:r>
        <w:rPr>
          <w:rFonts w:ascii="Times New Roman" w:hAnsi="Times New Roman"/>
          <w:bCs/>
          <w:sz w:val="24"/>
          <w:szCs w:val="24"/>
        </w:rPr>
        <w:t xml:space="preserve">дации и деструкции железо - углеродистых сплавов </w:t>
      </w:r>
      <w:r w:rsidR="006E1819" w:rsidRPr="00330C6E">
        <w:rPr>
          <w:rFonts w:ascii="Times New Roman" w:hAnsi="Times New Roman"/>
          <w:sz w:val="24"/>
          <w:szCs w:val="24"/>
        </w:rPr>
        <w:t>[</w:t>
      </w:r>
      <w:r w:rsidR="006E1819">
        <w:rPr>
          <w:rFonts w:ascii="Times New Roman" w:hAnsi="Times New Roman"/>
          <w:sz w:val="24"/>
          <w:szCs w:val="24"/>
        </w:rPr>
        <w:t>Текст</w:t>
      </w:r>
      <w:r w:rsidR="006E1819" w:rsidRPr="00330C6E">
        <w:rPr>
          <w:rFonts w:ascii="Times New Roman" w:hAnsi="Times New Roman"/>
          <w:sz w:val="24"/>
          <w:szCs w:val="24"/>
        </w:rPr>
        <w:t>]</w:t>
      </w:r>
      <w:r w:rsidR="006E1819">
        <w:rPr>
          <w:rFonts w:ascii="Times New Roman" w:hAnsi="Times New Roman"/>
          <w:sz w:val="24"/>
          <w:szCs w:val="24"/>
        </w:rPr>
        <w:t xml:space="preserve"> / А.Н.Чуканов, Д.М. Левин, </w:t>
      </w:r>
      <w:r w:rsidR="006E1819" w:rsidRPr="00330C6E">
        <w:rPr>
          <w:rFonts w:ascii="Times New Roman" w:hAnsi="Times New Roman"/>
          <w:b/>
          <w:sz w:val="24"/>
          <w:szCs w:val="24"/>
        </w:rPr>
        <w:t>А.А. Яковенко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//   Известия РАН. Серия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Физическая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.-2011.- </w:t>
      </w:r>
      <w:r>
        <w:rPr>
          <w:rFonts w:ascii="Times New Roman" w:hAnsi="Times New Roman"/>
          <w:bCs/>
          <w:sz w:val="24"/>
          <w:szCs w:val="24"/>
        </w:rPr>
        <w:t>Т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.75- № 10, </w:t>
      </w:r>
      <w:r>
        <w:rPr>
          <w:rFonts w:ascii="Times New Roman" w:hAnsi="Times New Roman"/>
          <w:bCs/>
          <w:sz w:val="24"/>
          <w:szCs w:val="24"/>
        </w:rPr>
        <w:t>С</w:t>
      </w:r>
      <w:r>
        <w:rPr>
          <w:rFonts w:ascii="Times New Roman" w:hAnsi="Times New Roman"/>
          <w:bCs/>
          <w:sz w:val="24"/>
          <w:szCs w:val="24"/>
          <w:lang w:val="en-US"/>
        </w:rPr>
        <w:t>.1423-1427.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>
        <w:rPr>
          <w:rFonts w:ascii="Times New Roman" w:hAnsi="Times New Roman"/>
          <w:bCs/>
          <w:sz w:val="24"/>
          <w:szCs w:val="24"/>
          <w:lang w:val="en-US"/>
        </w:rPr>
        <w:t>7.  Chukanov</w:t>
      </w:r>
      <w:r w:rsidR="00932F27" w:rsidRPr="00932F27">
        <w:rPr>
          <w:rFonts w:ascii="Times New Roman" w:hAnsi="Times New Roman"/>
          <w:bCs/>
          <w:sz w:val="24"/>
          <w:szCs w:val="24"/>
          <w:lang w:val="en-US"/>
        </w:rPr>
        <w:t>,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 A.N. Use and Prospects for the Internal Friction Method in Assessing the Degrad</w:t>
      </w:r>
      <w:r>
        <w:rPr>
          <w:rFonts w:ascii="Times New Roman" w:hAnsi="Times New Roman"/>
          <w:bCs/>
          <w:sz w:val="24"/>
          <w:szCs w:val="24"/>
          <w:lang w:val="en-US"/>
        </w:rPr>
        <w:t>a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tion and Destruction of Iron-Carbon Alloys </w:t>
      </w:r>
      <w:r w:rsidR="006E1819" w:rsidRPr="006E1819">
        <w:rPr>
          <w:rFonts w:ascii="Times New Roman" w:hAnsi="Times New Roman"/>
          <w:sz w:val="24"/>
          <w:szCs w:val="24"/>
          <w:lang w:val="en-US"/>
        </w:rPr>
        <w:t>[</w:t>
      </w:r>
      <w:r w:rsidR="006E1819">
        <w:rPr>
          <w:rFonts w:ascii="Times New Roman" w:hAnsi="Times New Roman"/>
          <w:sz w:val="24"/>
          <w:szCs w:val="24"/>
        </w:rPr>
        <w:t>Текст</w:t>
      </w:r>
      <w:r w:rsidR="006E1819" w:rsidRPr="006E1819">
        <w:rPr>
          <w:rFonts w:ascii="Times New Roman" w:hAnsi="Times New Roman"/>
          <w:sz w:val="24"/>
          <w:szCs w:val="24"/>
          <w:lang w:val="en-US"/>
        </w:rPr>
        <w:t xml:space="preserve">] / </w:t>
      </w:r>
      <w:r w:rsidR="006E1819">
        <w:rPr>
          <w:rFonts w:ascii="Times New Roman" w:hAnsi="Times New Roman"/>
          <w:bCs/>
          <w:sz w:val="24"/>
          <w:szCs w:val="24"/>
          <w:lang w:val="en-US"/>
        </w:rPr>
        <w:t>A.N.</w:t>
      </w:r>
      <w:r w:rsidR="006E1819" w:rsidRPr="006E1819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="006E1819">
        <w:rPr>
          <w:rFonts w:ascii="Times New Roman" w:hAnsi="Times New Roman"/>
          <w:bCs/>
          <w:sz w:val="24"/>
          <w:szCs w:val="24"/>
          <w:lang w:val="en-US"/>
        </w:rPr>
        <w:t>Chukanov,</w:t>
      </w:r>
      <w:r w:rsidR="006E1819" w:rsidRPr="006E1819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="006E1819">
        <w:rPr>
          <w:rFonts w:ascii="Times New Roman" w:hAnsi="Times New Roman"/>
          <w:bCs/>
          <w:sz w:val="24"/>
          <w:szCs w:val="24"/>
          <w:lang w:val="en-US"/>
        </w:rPr>
        <w:t xml:space="preserve">D.M. Levin, </w:t>
      </w:r>
      <w:r w:rsidR="006E1819" w:rsidRPr="006E1819">
        <w:rPr>
          <w:rFonts w:ascii="Times New Roman" w:hAnsi="Times New Roman"/>
          <w:b/>
          <w:bCs/>
          <w:sz w:val="24"/>
          <w:szCs w:val="24"/>
          <w:lang w:val="en-US"/>
        </w:rPr>
        <w:t>A.A. Yakove</w:t>
      </w:r>
      <w:r w:rsidR="006E1819" w:rsidRPr="006E1819">
        <w:rPr>
          <w:rFonts w:ascii="Times New Roman" w:hAnsi="Times New Roman"/>
          <w:b/>
          <w:bCs/>
          <w:sz w:val="24"/>
          <w:szCs w:val="24"/>
          <w:lang w:val="en-US"/>
        </w:rPr>
        <w:t>n</w:t>
      </w:r>
      <w:r w:rsidR="006E1819" w:rsidRPr="006E1819">
        <w:rPr>
          <w:rFonts w:ascii="Times New Roman" w:hAnsi="Times New Roman"/>
          <w:b/>
          <w:bCs/>
          <w:sz w:val="24"/>
          <w:szCs w:val="24"/>
          <w:lang w:val="en-US"/>
        </w:rPr>
        <w:t>ko</w:t>
      </w:r>
      <w:r w:rsidR="006E1819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bCs/>
          <w:sz w:val="24"/>
          <w:szCs w:val="24"/>
          <w:lang w:val="en-US"/>
        </w:rPr>
        <w:t>// ISSN1062-8738. Bulletin of the Russian Academy of Sciences. Physics, -2011,-Vol. 75,- № 10,- pp. 1340-1344.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8. Чуканов</w:t>
      </w:r>
      <w:r w:rsidR="00932F27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А.Н. Водородная деградация и повреждаемость малоуглеродистых сталей </w:t>
      </w:r>
      <w:r w:rsidR="006E1819" w:rsidRPr="00330C6E">
        <w:rPr>
          <w:rFonts w:ascii="Times New Roman" w:hAnsi="Times New Roman"/>
          <w:sz w:val="24"/>
          <w:szCs w:val="24"/>
        </w:rPr>
        <w:t>[</w:t>
      </w:r>
      <w:r w:rsidR="006E1819">
        <w:rPr>
          <w:rFonts w:ascii="Times New Roman" w:hAnsi="Times New Roman"/>
          <w:sz w:val="24"/>
          <w:szCs w:val="24"/>
        </w:rPr>
        <w:t>Текст</w:t>
      </w:r>
      <w:r w:rsidR="006E1819" w:rsidRPr="00330C6E">
        <w:rPr>
          <w:rFonts w:ascii="Times New Roman" w:hAnsi="Times New Roman"/>
          <w:sz w:val="24"/>
          <w:szCs w:val="24"/>
        </w:rPr>
        <w:t>]</w:t>
      </w:r>
      <w:r w:rsidR="006E1819">
        <w:rPr>
          <w:rFonts w:ascii="Times New Roman" w:hAnsi="Times New Roman"/>
          <w:sz w:val="24"/>
          <w:szCs w:val="24"/>
        </w:rPr>
        <w:t xml:space="preserve"> / А.Н.Чуканов, </w:t>
      </w:r>
      <w:r w:rsidR="006E1819" w:rsidRPr="00330C6E">
        <w:rPr>
          <w:rFonts w:ascii="Times New Roman" w:hAnsi="Times New Roman"/>
          <w:b/>
          <w:sz w:val="24"/>
          <w:szCs w:val="24"/>
        </w:rPr>
        <w:t>А.А. Яковенко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// Конденсированные среды и межфазные границы. – Т.</w:t>
      </w:r>
      <w:r w:rsidR="00AF1512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4. - №1. – 2012. – С. 100-103.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 Чуканов</w:t>
      </w:r>
      <w:r w:rsidR="00932F27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А.Н. Роль водорода в деградации и деструкции малоуглеродистых сталей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 w:rsidR="006E1819" w:rsidRPr="00330C6E">
        <w:rPr>
          <w:rFonts w:ascii="Times New Roman" w:hAnsi="Times New Roman"/>
          <w:sz w:val="24"/>
          <w:szCs w:val="24"/>
        </w:rPr>
        <w:t>[</w:t>
      </w:r>
      <w:r w:rsidR="006E1819">
        <w:rPr>
          <w:rFonts w:ascii="Times New Roman" w:hAnsi="Times New Roman"/>
          <w:sz w:val="24"/>
          <w:szCs w:val="24"/>
        </w:rPr>
        <w:t>Текст</w:t>
      </w:r>
      <w:r w:rsidR="006E1819" w:rsidRPr="00330C6E">
        <w:rPr>
          <w:rFonts w:ascii="Times New Roman" w:hAnsi="Times New Roman"/>
          <w:sz w:val="24"/>
          <w:szCs w:val="24"/>
        </w:rPr>
        <w:t>]</w:t>
      </w:r>
      <w:r w:rsidR="006E1819">
        <w:rPr>
          <w:rFonts w:ascii="Times New Roman" w:hAnsi="Times New Roman"/>
          <w:sz w:val="24"/>
          <w:szCs w:val="24"/>
        </w:rPr>
        <w:t xml:space="preserve"> / А.Н.Чуканов, </w:t>
      </w:r>
      <w:r w:rsidR="006E1819" w:rsidRPr="00330C6E">
        <w:rPr>
          <w:rFonts w:ascii="Times New Roman" w:hAnsi="Times New Roman"/>
          <w:b/>
          <w:sz w:val="24"/>
          <w:szCs w:val="24"/>
        </w:rPr>
        <w:t>А.А. Яковенко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//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Известия Тульского государственного университета. Ест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ственные науки. – 2012.-Вып.1.- С. 211-219.</w:t>
      </w: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 Чуканов</w:t>
      </w:r>
      <w:r w:rsidR="00932F27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А.Н. Дислокационная динамика в изучении стадийности развития деградации и разрушения малоуглеродистых сталей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 w:rsidR="006E1819" w:rsidRPr="00330C6E">
        <w:rPr>
          <w:rFonts w:ascii="Times New Roman" w:hAnsi="Times New Roman"/>
          <w:sz w:val="24"/>
          <w:szCs w:val="24"/>
        </w:rPr>
        <w:t>[</w:t>
      </w:r>
      <w:r w:rsidR="006E1819">
        <w:rPr>
          <w:rFonts w:ascii="Times New Roman" w:hAnsi="Times New Roman"/>
          <w:sz w:val="24"/>
          <w:szCs w:val="24"/>
        </w:rPr>
        <w:t>Текст</w:t>
      </w:r>
      <w:r w:rsidR="006E1819" w:rsidRPr="00330C6E">
        <w:rPr>
          <w:rFonts w:ascii="Times New Roman" w:hAnsi="Times New Roman"/>
          <w:sz w:val="24"/>
          <w:szCs w:val="24"/>
        </w:rPr>
        <w:t>]</w:t>
      </w:r>
      <w:r w:rsidR="006E1819">
        <w:rPr>
          <w:rFonts w:ascii="Times New Roman" w:hAnsi="Times New Roman"/>
          <w:sz w:val="24"/>
          <w:szCs w:val="24"/>
        </w:rPr>
        <w:t xml:space="preserve"> / А.Н.Чуканов, </w:t>
      </w:r>
      <w:r w:rsidR="006E1819" w:rsidRPr="00330C6E">
        <w:rPr>
          <w:rFonts w:ascii="Times New Roman" w:hAnsi="Times New Roman"/>
          <w:b/>
          <w:sz w:val="24"/>
          <w:szCs w:val="24"/>
        </w:rPr>
        <w:t>А.А. Яковенко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//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Известия Тульского государственного университета. Естественные науки. – 2012.-Вып.1.- С. 220-228.</w:t>
      </w:r>
    </w:p>
    <w:p w:rsidR="00FB56D4" w:rsidRPr="007420B1" w:rsidRDefault="00FB56D4" w:rsidP="00FB56D4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11. </w:t>
      </w:r>
      <w:r w:rsidRPr="007420B1">
        <w:rPr>
          <w:rFonts w:ascii="Times New Roman" w:hAnsi="Times New Roman"/>
          <w:bCs/>
          <w:sz w:val="24"/>
          <w:szCs w:val="24"/>
        </w:rPr>
        <w:t>Чуканов</w:t>
      </w:r>
      <w:r w:rsidR="00932F27">
        <w:rPr>
          <w:rFonts w:ascii="Times New Roman" w:hAnsi="Times New Roman"/>
          <w:bCs/>
          <w:sz w:val="24"/>
          <w:szCs w:val="24"/>
        </w:rPr>
        <w:t>,</w:t>
      </w:r>
      <w:r w:rsidRPr="007420B1">
        <w:rPr>
          <w:rFonts w:ascii="Times New Roman" w:hAnsi="Times New Roman"/>
          <w:bCs/>
          <w:sz w:val="24"/>
          <w:szCs w:val="24"/>
        </w:rPr>
        <w:t xml:space="preserve"> А.Н. Влияние поверхностной активности углерода на микроструктуру и эффе</w:t>
      </w:r>
      <w:r w:rsidRPr="007420B1">
        <w:rPr>
          <w:rFonts w:ascii="Times New Roman" w:hAnsi="Times New Roman"/>
          <w:bCs/>
          <w:sz w:val="24"/>
          <w:szCs w:val="24"/>
        </w:rPr>
        <w:t>к</w:t>
      </w:r>
      <w:r w:rsidRPr="007420B1">
        <w:rPr>
          <w:rFonts w:ascii="Times New Roman" w:hAnsi="Times New Roman"/>
          <w:bCs/>
          <w:sz w:val="24"/>
          <w:szCs w:val="24"/>
        </w:rPr>
        <w:t xml:space="preserve">ты неупругости в сплавах </w:t>
      </w:r>
      <w:r w:rsidRPr="007420B1">
        <w:rPr>
          <w:rFonts w:ascii="Times New Roman" w:hAnsi="Times New Roman"/>
          <w:bCs/>
          <w:sz w:val="24"/>
          <w:szCs w:val="24"/>
          <w:lang w:val="en-US"/>
        </w:rPr>
        <w:t>Fe</w:t>
      </w:r>
      <w:r w:rsidRPr="007420B1">
        <w:rPr>
          <w:rFonts w:ascii="Times New Roman" w:hAnsi="Times New Roman"/>
          <w:bCs/>
          <w:sz w:val="24"/>
          <w:szCs w:val="24"/>
        </w:rPr>
        <w:t>-</w:t>
      </w:r>
      <w:r w:rsidRPr="007420B1">
        <w:rPr>
          <w:rFonts w:ascii="Times New Roman" w:hAnsi="Times New Roman"/>
          <w:bCs/>
          <w:sz w:val="24"/>
          <w:szCs w:val="24"/>
          <w:lang w:val="en-US"/>
        </w:rPr>
        <w:t>C</w:t>
      </w:r>
      <w:r w:rsidRPr="007420B1">
        <w:rPr>
          <w:rFonts w:ascii="Times New Roman" w:hAnsi="Times New Roman"/>
          <w:bCs/>
          <w:sz w:val="24"/>
          <w:szCs w:val="24"/>
        </w:rPr>
        <w:t xml:space="preserve"> </w:t>
      </w:r>
      <w:r w:rsidR="006E1819" w:rsidRPr="00330C6E">
        <w:rPr>
          <w:rFonts w:ascii="Times New Roman" w:hAnsi="Times New Roman"/>
          <w:sz w:val="24"/>
          <w:szCs w:val="24"/>
        </w:rPr>
        <w:t>[</w:t>
      </w:r>
      <w:r w:rsidR="006E1819">
        <w:rPr>
          <w:rFonts w:ascii="Times New Roman" w:hAnsi="Times New Roman"/>
          <w:sz w:val="24"/>
          <w:szCs w:val="24"/>
        </w:rPr>
        <w:t>Текст</w:t>
      </w:r>
      <w:r w:rsidR="006E1819" w:rsidRPr="00330C6E">
        <w:rPr>
          <w:rFonts w:ascii="Times New Roman" w:hAnsi="Times New Roman"/>
          <w:sz w:val="24"/>
          <w:szCs w:val="24"/>
        </w:rPr>
        <w:t>]</w:t>
      </w:r>
      <w:r w:rsidR="006E1819">
        <w:rPr>
          <w:rFonts w:ascii="Times New Roman" w:hAnsi="Times New Roman"/>
          <w:sz w:val="24"/>
          <w:szCs w:val="24"/>
        </w:rPr>
        <w:t xml:space="preserve"> / А.Н.Чуканов, </w:t>
      </w:r>
      <w:r w:rsidR="006E1819" w:rsidRPr="00330C6E">
        <w:rPr>
          <w:rFonts w:ascii="Times New Roman" w:hAnsi="Times New Roman"/>
          <w:b/>
          <w:sz w:val="24"/>
          <w:szCs w:val="24"/>
        </w:rPr>
        <w:t>А.А. Яковенко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 w:rsidRPr="007420B1">
        <w:rPr>
          <w:rFonts w:ascii="Times New Roman" w:hAnsi="Times New Roman"/>
          <w:sz w:val="24"/>
          <w:szCs w:val="24"/>
        </w:rPr>
        <w:t>//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 w:rsidRPr="007420B1">
        <w:rPr>
          <w:rFonts w:ascii="Times New Roman" w:hAnsi="Times New Roman"/>
          <w:sz w:val="24"/>
          <w:szCs w:val="24"/>
        </w:rPr>
        <w:t>Конденсированные среды и межфазные границы – 2012.- Т. 14.- №2.- С.256 –261.</w:t>
      </w:r>
    </w:p>
    <w:p w:rsidR="00FB56D4" w:rsidRDefault="00FB56D4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</w:p>
    <w:p w:rsidR="00F855BB" w:rsidRDefault="00F855BB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                </w:t>
      </w:r>
      <w:r w:rsidR="006E1819">
        <w:rPr>
          <w:rFonts w:ascii="Times New Roman" w:hAnsi="Times New Roman"/>
          <w:b/>
          <w:sz w:val="24"/>
          <w:szCs w:val="24"/>
        </w:rPr>
        <w:t xml:space="preserve">статьи </w:t>
      </w:r>
      <w:r>
        <w:rPr>
          <w:rFonts w:ascii="Times New Roman" w:hAnsi="Times New Roman"/>
          <w:b/>
          <w:sz w:val="24"/>
          <w:szCs w:val="24"/>
        </w:rPr>
        <w:t xml:space="preserve"> и материал</w:t>
      </w:r>
      <w:r w:rsidR="006E1819">
        <w:rPr>
          <w:rFonts w:ascii="Times New Roman" w:hAnsi="Times New Roman"/>
          <w:b/>
          <w:sz w:val="24"/>
          <w:szCs w:val="24"/>
        </w:rPr>
        <w:t>ы</w:t>
      </w:r>
      <w:r>
        <w:rPr>
          <w:rFonts w:ascii="Times New Roman" w:hAnsi="Times New Roman"/>
          <w:b/>
          <w:sz w:val="24"/>
          <w:szCs w:val="24"/>
        </w:rPr>
        <w:t xml:space="preserve"> конференций, </w:t>
      </w:r>
      <w:r>
        <w:rPr>
          <w:rFonts w:ascii="Times New Roman" w:hAnsi="Times New Roman"/>
          <w:sz w:val="24"/>
          <w:szCs w:val="24"/>
        </w:rPr>
        <w:t>основные их которых:</w:t>
      </w:r>
    </w:p>
    <w:p w:rsidR="000E454D" w:rsidRDefault="000E454D" w:rsidP="000E454D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12.  Чуканов, А.Н. Анализ температурного спектра внутреннего трения для описания дегр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дации и деструкции сталей </w:t>
      </w:r>
      <w:r w:rsidRPr="00330C6E">
        <w:rPr>
          <w:rFonts w:ascii="Times New Roman" w:hAnsi="Times New Roman"/>
          <w:sz w:val="24"/>
          <w:szCs w:val="24"/>
        </w:rPr>
        <w:t>[</w:t>
      </w:r>
      <w:r>
        <w:rPr>
          <w:rFonts w:ascii="Times New Roman" w:hAnsi="Times New Roman"/>
          <w:sz w:val="24"/>
          <w:szCs w:val="24"/>
        </w:rPr>
        <w:t>Текст</w:t>
      </w:r>
      <w:r w:rsidRPr="00330C6E">
        <w:rPr>
          <w:rFonts w:ascii="Times New Roman" w:hAnsi="Times New Roman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 / А.Н.Чуканов, </w:t>
      </w:r>
      <w:r w:rsidRPr="00330C6E">
        <w:rPr>
          <w:rFonts w:ascii="Times New Roman" w:hAnsi="Times New Roman"/>
          <w:b/>
          <w:sz w:val="24"/>
          <w:szCs w:val="24"/>
        </w:rPr>
        <w:t>А.А. Яковенко</w:t>
      </w:r>
      <w:r>
        <w:rPr>
          <w:rFonts w:ascii="Times New Roman" w:hAnsi="Times New Roman"/>
          <w:sz w:val="24"/>
          <w:szCs w:val="24"/>
        </w:rPr>
        <w:t xml:space="preserve"> // «Взаимодействие дефе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тов и  неупругие явления в твердых телах» (</w:t>
      </w:r>
      <w:r>
        <w:rPr>
          <w:rFonts w:ascii="Times New Roman" w:hAnsi="Times New Roman"/>
          <w:sz w:val="24"/>
          <w:szCs w:val="24"/>
          <w:lang w:val="en-US"/>
        </w:rPr>
        <w:t>IIAPS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XI</w:t>
      </w:r>
      <w:r>
        <w:rPr>
          <w:rFonts w:ascii="Times New Roman" w:hAnsi="Times New Roman"/>
          <w:sz w:val="24"/>
          <w:szCs w:val="24"/>
        </w:rPr>
        <w:t xml:space="preserve">): сборник торудов </w:t>
      </w:r>
      <w:r>
        <w:rPr>
          <w:rFonts w:ascii="Times New Roman" w:hAnsi="Times New Roman"/>
          <w:sz w:val="24"/>
          <w:szCs w:val="24"/>
          <w:lang w:val="en-US"/>
        </w:rPr>
        <w:t>XI</w:t>
      </w:r>
      <w:r>
        <w:rPr>
          <w:rFonts w:ascii="Times New Roman" w:hAnsi="Times New Roman"/>
          <w:sz w:val="24"/>
          <w:szCs w:val="24"/>
        </w:rPr>
        <w:t xml:space="preserve"> Межд. Конф. - Тула: ТулГУ, 2008.- С. 90-96.</w:t>
      </w:r>
    </w:p>
    <w:p w:rsidR="000E454D" w:rsidRDefault="000E454D" w:rsidP="000E454D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13. Чуканов, А.Н. Температурный спектр внутреннего трения в анализе деградации и дес</w:t>
      </w:r>
      <w:r>
        <w:rPr>
          <w:rFonts w:ascii="Times New Roman" w:hAnsi="Times New Roman"/>
          <w:sz w:val="24"/>
          <w:szCs w:val="24"/>
        </w:rPr>
        <w:t>т</w:t>
      </w:r>
      <w:r>
        <w:rPr>
          <w:rFonts w:ascii="Times New Roman" w:hAnsi="Times New Roman"/>
          <w:sz w:val="24"/>
          <w:szCs w:val="24"/>
        </w:rPr>
        <w:t xml:space="preserve">рукции сталей </w:t>
      </w:r>
      <w:r w:rsidRPr="00330C6E">
        <w:rPr>
          <w:rFonts w:ascii="Times New Roman" w:hAnsi="Times New Roman"/>
          <w:sz w:val="24"/>
          <w:szCs w:val="24"/>
        </w:rPr>
        <w:t>[</w:t>
      </w:r>
      <w:r>
        <w:rPr>
          <w:rFonts w:ascii="Times New Roman" w:hAnsi="Times New Roman"/>
          <w:sz w:val="24"/>
          <w:szCs w:val="24"/>
        </w:rPr>
        <w:t>Текст</w:t>
      </w:r>
      <w:r w:rsidRPr="00330C6E">
        <w:rPr>
          <w:rFonts w:ascii="Times New Roman" w:hAnsi="Times New Roman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 / А.Н.Чуканов, </w:t>
      </w:r>
      <w:r w:rsidRPr="00330C6E">
        <w:rPr>
          <w:rFonts w:ascii="Times New Roman" w:hAnsi="Times New Roman"/>
          <w:b/>
          <w:sz w:val="24"/>
          <w:szCs w:val="24"/>
        </w:rPr>
        <w:t>А.А. Яковенко</w:t>
      </w:r>
      <w:r>
        <w:rPr>
          <w:rFonts w:ascii="Times New Roman" w:hAnsi="Times New Roman"/>
          <w:sz w:val="24"/>
          <w:szCs w:val="24"/>
        </w:rPr>
        <w:t xml:space="preserve"> // «Актуальные проблемы прочности»: метериалы. </w:t>
      </w:r>
      <w:r>
        <w:rPr>
          <w:rFonts w:ascii="Times New Roman" w:hAnsi="Times New Roman"/>
          <w:sz w:val="24"/>
          <w:szCs w:val="24"/>
          <w:lang w:val="en-US"/>
        </w:rPr>
        <w:t>XL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 межд. конф. – Н.Новгород, 2008.- Часть 1. - С. 243-245.</w:t>
      </w:r>
    </w:p>
    <w:p w:rsidR="000E454D" w:rsidRDefault="000E454D" w:rsidP="000E454D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14.  </w:t>
      </w:r>
      <w:r w:rsidRPr="006E1819">
        <w:rPr>
          <w:rFonts w:ascii="Times New Roman" w:hAnsi="Times New Roman"/>
          <w:b/>
          <w:sz w:val="24"/>
          <w:szCs w:val="24"/>
        </w:rPr>
        <w:t>Яковенко</w:t>
      </w:r>
      <w:r>
        <w:rPr>
          <w:rFonts w:ascii="Times New Roman" w:hAnsi="Times New Roman"/>
          <w:b/>
          <w:sz w:val="24"/>
          <w:szCs w:val="24"/>
        </w:rPr>
        <w:t>,</w:t>
      </w:r>
      <w:r w:rsidRPr="006E1819">
        <w:rPr>
          <w:rFonts w:ascii="Times New Roman" w:hAnsi="Times New Roman"/>
          <w:b/>
          <w:sz w:val="24"/>
          <w:szCs w:val="24"/>
        </w:rPr>
        <w:t xml:space="preserve"> А.А.</w:t>
      </w:r>
      <w:r>
        <w:rPr>
          <w:rFonts w:ascii="Times New Roman" w:hAnsi="Times New Roman"/>
          <w:sz w:val="24"/>
          <w:szCs w:val="24"/>
        </w:rPr>
        <w:t xml:space="preserve"> Стадийность накопления поврежденности в малоуглеродистой стали при деформировании и наводороживании </w:t>
      </w:r>
      <w:r w:rsidRPr="00330C6E">
        <w:rPr>
          <w:rFonts w:ascii="Times New Roman" w:hAnsi="Times New Roman"/>
          <w:sz w:val="24"/>
          <w:szCs w:val="24"/>
        </w:rPr>
        <w:t>[</w:t>
      </w:r>
      <w:r>
        <w:rPr>
          <w:rFonts w:ascii="Times New Roman" w:hAnsi="Times New Roman"/>
          <w:sz w:val="24"/>
          <w:szCs w:val="24"/>
        </w:rPr>
        <w:t>Текст</w:t>
      </w:r>
      <w:r w:rsidRPr="00330C6E">
        <w:rPr>
          <w:rFonts w:ascii="Times New Roman" w:hAnsi="Times New Roman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 / </w:t>
      </w:r>
      <w:r w:rsidRPr="00330C6E">
        <w:rPr>
          <w:rFonts w:ascii="Times New Roman" w:hAnsi="Times New Roman"/>
          <w:b/>
          <w:sz w:val="24"/>
          <w:szCs w:val="24"/>
        </w:rPr>
        <w:t>А.А. Яковенко</w:t>
      </w:r>
      <w:r>
        <w:rPr>
          <w:rFonts w:ascii="Times New Roman" w:hAnsi="Times New Roman"/>
          <w:sz w:val="24"/>
          <w:szCs w:val="24"/>
        </w:rPr>
        <w:t xml:space="preserve"> // </w:t>
      </w:r>
      <w:r>
        <w:rPr>
          <w:rFonts w:ascii="Times New Roman" w:hAnsi="Times New Roman"/>
          <w:sz w:val="24"/>
          <w:szCs w:val="24"/>
          <w:lang w:val="en-US"/>
        </w:rPr>
        <w:t>X</w:t>
      </w:r>
      <w:r>
        <w:rPr>
          <w:rFonts w:ascii="Times New Roman" w:hAnsi="Times New Roman"/>
          <w:sz w:val="24"/>
          <w:szCs w:val="24"/>
        </w:rPr>
        <w:t xml:space="preserve"> Межд. науч.-техн. Уральская школа-семинар металловедов-молодых ученых: Матер. конф. – Екатеринбург: УГТУ УПИ, 2009. – С.196-197.</w:t>
      </w:r>
    </w:p>
    <w:p w:rsidR="000E454D" w:rsidRDefault="000E454D" w:rsidP="000E454D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15. Чуканов, А.Н. Специфика природы деструктивных воздействий и характер повреждаем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сти углеродистых сталей </w:t>
      </w:r>
      <w:r w:rsidRPr="00330C6E">
        <w:rPr>
          <w:rFonts w:ascii="Times New Roman" w:hAnsi="Times New Roman"/>
          <w:sz w:val="24"/>
          <w:szCs w:val="24"/>
        </w:rPr>
        <w:t>[</w:t>
      </w:r>
      <w:r>
        <w:rPr>
          <w:rFonts w:ascii="Times New Roman" w:hAnsi="Times New Roman"/>
          <w:sz w:val="24"/>
          <w:szCs w:val="24"/>
        </w:rPr>
        <w:t>Текст</w:t>
      </w:r>
      <w:r w:rsidRPr="00330C6E">
        <w:rPr>
          <w:rFonts w:ascii="Times New Roman" w:hAnsi="Times New Roman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 / А.Н.Чуканов, </w:t>
      </w:r>
      <w:r w:rsidRPr="00330C6E">
        <w:rPr>
          <w:rFonts w:ascii="Times New Roman" w:hAnsi="Times New Roman"/>
          <w:b/>
          <w:sz w:val="24"/>
          <w:szCs w:val="24"/>
        </w:rPr>
        <w:t>А.А. Яковенко</w:t>
      </w:r>
      <w:r>
        <w:rPr>
          <w:rFonts w:ascii="Times New Roman" w:hAnsi="Times New Roman"/>
          <w:sz w:val="24"/>
          <w:szCs w:val="24"/>
        </w:rPr>
        <w:t xml:space="preserve"> // </w:t>
      </w:r>
      <w:r>
        <w:rPr>
          <w:rFonts w:ascii="Times New Roman" w:hAnsi="Times New Roman"/>
          <w:sz w:val="24"/>
          <w:szCs w:val="24"/>
          <w:lang w:val="en-US"/>
        </w:rPr>
        <w:t>XIX</w:t>
      </w:r>
      <w:r>
        <w:rPr>
          <w:rFonts w:ascii="Times New Roman" w:hAnsi="Times New Roman"/>
          <w:sz w:val="24"/>
          <w:szCs w:val="24"/>
        </w:rPr>
        <w:t xml:space="preserve"> Петербургские Чт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ния по проблемам прочности:</w:t>
      </w:r>
      <w:r w:rsidRPr="00932F2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Сб. матер. –  С-Пб., Россия, 2010 г. – Часть 1. – С. 237-239.</w:t>
      </w:r>
    </w:p>
    <w:p w:rsidR="000E454D" w:rsidRDefault="000E454D" w:rsidP="000E454D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16. Чуканов, А.Н. Детализация процессов деградации и повреждаемости малоуглеродистых сталей по данным внутреннего трения </w:t>
      </w:r>
      <w:r w:rsidRPr="00330C6E">
        <w:rPr>
          <w:rFonts w:ascii="Times New Roman" w:hAnsi="Times New Roman"/>
          <w:sz w:val="24"/>
          <w:szCs w:val="24"/>
        </w:rPr>
        <w:t>[</w:t>
      </w:r>
      <w:r>
        <w:rPr>
          <w:rFonts w:ascii="Times New Roman" w:hAnsi="Times New Roman"/>
          <w:sz w:val="24"/>
          <w:szCs w:val="24"/>
        </w:rPr>
        <w:t>Текст</w:t>
      </w:r>
      <w:r w:rsidRPr="00330C6E">
        <w:rPr>
          <w:rFonts w:ascii="Times New Roman" w:hAnsi="Times New Roman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 / А.Н.Чуканов, </w:t>
      </w:r>
      <w:r w:rsidRPr="00330C6E">
        <w:rPr>
          <w:rFonts w:ascii="Times New Roman" w:hAnsi="Times New Roman"/>
          <w:b/>
          <w:sz w:val="24"/>
          <w:szCs w:val="24"/>
        </w:rPr>
        <w:t>А.А. Яковенко</w:t>
      </w:r>
      <w:r>
        <w:rPr>
          <w:rFonts w:ascii="Times New Roman" w:hAnsi="Times New Roman"/>
          <w:sz w:val="24"/>
          <w:szCs w:val="24"/>
        </w:rPr>
        <w:t xml:space="preserve"> //  «Прочность неоднородных структур» (ПРОСТ 2010): сборник трудов </w:t>
      </w:r>
      <w:r>
        <w:rPr>
          <w:rFonts w:ascii="Times New Roman" w:hAnsi="Times New Roman"/>
          <w:sz w:val="24"/>
          <w:szCs w:val="24"/>
          <w:lang w:val="en-US"/>
        </w:rPr>
        <w:t>V</w:t>
      </w:r>
      <w:r>
        <w:rPr>
          <w:rFonts w:ascii="Times New Roman" w:hAnsi="Times New Roman"/>
          <w:sz w:val="24"/>
          <w:szCs w:val="24"/>
        </w:rPr>
        <w:t xml:space="preserve"> Евразийская научно-практ. Конф. – Москва, 2010. – С. 48.</w:t>
      </w:r>
    </w:p>
    <w:p w:rsidR="000E454D" w:rsidRDefault="000E454D" w:rsidP="000E454D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17.  Чуканов, А.Н. Внутреннее трение – как основа структурного моделирования поврежде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 xml:space="preserve">ности сплавов </w:t>
      </w:r>
      <w:r>
        <w:rPr>
          <w:rFonts w:ascii="Times New Roman" w:hAnsi="Times New Roman"/>
          <w:sz w:val="24"/>
          <w:szCs w:val="24"/>
          <w:lang w:val="en-US"/>
        </w:rPr>
        <w:t>Fe</w:t>
      </w:r>
      <w:r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 xml:space="preserve"> </w:t>
      </w:r>
      <w:r w:rsidRPr="00330C6E">
        <w:rPr>
          <w:rFonts w:ascii="Times New Roman" w:hAnsi="Times New Roman"/>
          <w:sz w:val="24"/>
          <w:szCs w:val="24"/>
        </w:rPr>
        <w:t>[</w:t>
      </w:r>
      <w:r>
        <w:rPr>
          <w:rFonts w:ascii="Times New Roman" w:hAnsi="Times New Roman"/>
          <w:sz w:val="24"/>
          <w:szCs w:val="24"/>
        </w:rPr>
        <w:t>Текст</w:t>
      </w:r>
      <w:r w:rsidRPr="00330C6E">
        <w:rPr>
          <w:rFonts w:ascii="Times New Roman" w:hAnsi="Times New Roman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 / А.Н.Чуканов, </w:t>
      </w:r>
      <w:r w:rsidRPr="00330C6E">
        <w:rPr>
          <w:rFonts w:ascii="Times New Roman" w:hAnsi="Times New Roman"/>
          <w:b/>
          <w:sz w:val="24"/>
          <w:szCs w:val="24"/>
        </w:rPr>
        <w:t>А.А. Яковенко</w:t>
      </w:r>
      <w:r>
        <w:rPr>
          <w:rFonts w:ascii="Times New Roman" w:hAnsi="Times New Roman"/>
          <w:b/>
          <w:sz w:val="24"/>
          <w:szCs w:val="24"/>
        </w:rPr>
        <w:t>, Е.В. Якунова</w:t>
      </w:r>
      <w:r>
        <w:rPr>
          <w:rFonts w:ascii="Times New Roman" w:hAnsi="Times New Roman"/>
          <w:sz w:val="24"/>
          <w:szCs w:val="24"/>
        </w:rPr>
        <w:t xml:space="preserve"> // «Актуальные в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просы современной науки и образования»: материалы </w:t>
      </w:r>
      <w:r>
        <w:rPr>
          <w:rFonts w:ascii="Times New Roman" w:hAnsi="Times New Roman"/>
          <w:sz w:val="24"/>
          <w:szCs w:val="24"/>
          <w:lang w:val="en-US"/>
        </w:rPr>
        <w:t>V</w:t>
      </w:r>
      <w:r>
        <w:rPr>
          <w:rFonts w:ascii="Times New Roman" w:hAnsi="Times New Roman"/>
          <w:sz w:val="24"/>
          <w:szCs w:val="24"/>
        </w:rPr>
        <w:t xml:space="preserve"> Общеросс. научн.-практич. конф. с межд. участием.- Красноярск: Научн. Инновац. Центр, 2010.- С. 205-209.</w:t>
      </w:r>
    </w:p>
    <w:p w:rsidR="000E454D" w:rsidRDefault="000E454D" w:rsidP="000E454D">
      <w:pPr>
        <w:pStyle w:val="a9"/>
        <w:widowControl w:val="0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18.  </w:t>
      </w:r>
      <w:r w:rsidRPr="006E1819">
        <w:rPr>
          <w:rFonts w:ascii="Times New Roman" w:hAnsi="Times New Roman"/>
          <w:b/>
          <w:sz w:val="24"/>
          <w:szCs w:val="24"/>
        </w:rPr>
        <w:t>Яковенко</w:t>
      </w:r>
      <w:r>
        <w:rPr>
          <w:rFonts w:ascii="Times New Roman" w:hAnsi="Times New Roman"/>
          <w:b/>
          <w:sz w:val="24"/>
          <w:szCs w:val="24"/>
        </w:rPr>
        <w:t>,</w:t>
      </w:r>
      <w:r w:rsidRPr="006E1819">
        <w:rPr>
          <w:rFonts w:ascii="Times New Roman" w:hAnsi="Times New Roman"/>
          <w:b/>
          <w:sz w:val="24"/>
          <w:szCs w:val="24"/>
        </w:rPr>
        <w:t xml:space="preserve"> А.А.</w:t>
      </w:r>
      <w:r>
        <w:rPr>
          <w:rFonts w:ascii="Times New Roman" w:hAnsi="Times New Roman"/>
          <w:sz w:val="24"/>
          <w:szCs w:val="24"/>
        </w:rPr>
        <w:t xml:space="preserve"> Динамика дефектов строения – как инструмент изучения деградации и разрушения сплавов системы </w:t>
      </w:r>
      <w:r>
        <w:rPr>
          <w:rFonts w:ascii="Times New Roman" w:hAnsi="Times New Roman"/>
          <w:sz w:val="24"/>
          <w:szCs w:val="24"/>
          <w:lang w:val="en-US"/>
        </w:rPr>
        <w:t>Fe</w:t>
      </w:r>
      <w:r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>. Стадийность, механизмы, методики исследования и об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рудование </w:t>
      </w:r>
      <w:r w:rsidRPr="00330C6E">
        <w:rPr>
          <w:rFonts w:ascii="Times New Roman" w:hAnsi="Times New Roman"/>
          <w:sz w:val="24"/>
          <w:szCs w:val="24"/>
        </w:rPr>
        <w:t>[</w:t>
      </w:r>
      <w:r>
        <w:rPr>
          <w:rFonts w:ascii="Times New Roman" w:hAnsi="Times New Roman"/>
          <w:sz w:val="24"/>
          <w:szCs w:val="24"/>
        </w:rPr>
        <w:t>Текст</w:t>
      </w:r>
      <w:r w:rsidRPr="00330C6E">
        <w:rPr>
          <w:rFonts w:ascii="Times New Roman" w:hAnsi="Times New Roman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 / </w:t>
      </w:r>
      <w:r w:rsidRPr="00330C6E">
        <w:rPr>
          <w:rFonts w:ascii="Times New Roman" w:hAnsi="Times New Roman"/>
          <w:b/>
          <w:sz w:val="24"/>
          <w:szCs w:val="24"/>
        </w:rPr>
        <w:t>А.А. Яковенко</w:t>
      </w:r>
      <w:r w:rsidRPr="006E1819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А.Н.Чуканов, // «Физическое материаловедение»: сбо</w:t>
      </w:r>
      <w:r>
        <w:rPr>
          <w:rFonts w:ascii="Times New Roman" w:hAnsi="Times New Roman"/>
          <w:sz w:val="24"/>
          <w:szCs w:val="24"/>
        </w:rPr>
        <w:t>р</w:t>
      </w:r>
      <w:r>
        <w:rPr>
          <w:rFonts w:ascii="Times New Roman" w:hAnsi="Times New Roman"/>
          <w:sz w:val="24"/>
          <w:szCs w:val="24"/>
        </w:rPr>
        <w:t xml:space="preserve">ник докладов </w:t>
      </w:r>
      <w:r>
        <w:rPr>
          <w:rFonts w:ascii="Times New Roman" w:hAnsi="Times New Roman"/>
          <w:sz w:val="24"/>
          <w:szCs w:val="24"/>
          <w:lang w:val="en-US"/>
        </w:rPr>
        <w:t>V</w:t>
      </w:r>
      <w:r>
        <w:rPr>
          <w:rFonts w:ascii="Times New Roman" w:hAnsi="Times New Roman"/>
          <w:sz w:val="24"/>
          <w:szCs w:val="24"/>
        </w:rPr>
        <w:t xml:space="preserve"> Межд. школа.– Тольятти: ТГУ, 2011. - С.226-230.</w:t>
      </w:r>
    </w:p>
    <w:p w:rsidR="000E454D" w:rsidRPr="00932F27" w:rsidRDefault="000E454D" w:rsidP="000E454D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19. Чуканов, А.Н. </w:t>
      </w:r>
      <w:r>
        <w:rPr>
          <w:rFonts w:ascii="Times New Roman" w:hAnsi="Times New Roman"/>
          <w:bCs/>
          <w:sz w:val="24"/>
          <w:szCs w:val="24"/>
        </w:rPr>
        <w:t xml:space="preserve">Комплексный анализ параметров диссипации и акустической эмиссии в оценке поврежденности сплавов </w:t>
      </w:r>
      <w:r>
        <w:rPr>
          <w:rFonts w:ascii="Times New Roman" w:hAnsi="Times New Roman"/>
          <w:bCs/>
          <w:sz w:val="24"/>
          <w:szCs w:val="24"/>
          <w:lang w:val="en-US"/>
        </w:rPr>
        <w:t>Fe</w:t>
      </w:r>
      <w:r>
        <w:rPr>
          <w:rFonts w:ascii="Times New Roman" w:hAnsi="Times New Roman"/>
          <w:bCs/>
          <w:sz w:val="24"/>
          <w:szCs w:val="24"/>
        </w:rPr>
        <w:t xml:space="preserve"> – </w:t>
      </w:r>
      <w:r>
        <w:rPr>
          <w:rFonts w:ascii="Times New Roman" w:hAnsi="Times New Roman"/>
          <w:bCs/>
          <w:sz w:val="24"/>
          <w:szCs w:val="24"/>
          <w:lang w:val="en-US"/>
        </w:rPr>
        <w:t>C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330C6E">
        <w:rPr>
          <w:rFonts w:ascii="Times New Roman" w:hAnsi="Times New Roman"/>
          <w:sz w:val="24"/>
          <w:szCs w:val="24"/>
        </w:rPr>
        <w:t>[</w:t>
      </w:r>
      <w:r>
        <w:rPr>
          <w:rFonts w:ascii="Times New Roman" w:hAnsi="Times New Roman"/>
          <w:sz w:val="24"/>
          <w:szCs w:val="24"/>
        </w:rPr>
        <w:t>Текст</w:t>
      </w:r>
      <w:r w:rsidRPr="00330C6E">
        <w:rPr>
          <w:rFonts w:ascii="Times New Roman" w:hAnsi="Times New Roman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 / А.Н.Чуканов, </w:t>
      </w:r>
      <w:r w:rsidRPr="00330C6E">
        <w:rPr>
          <w:rFonts w:ascii="Times New Roman" w:hAnsi="Times New Roman"/>
          <w:b/>
          <w:sz w:val="24"/>
          <w:szCs w:val="24"/>
        </w:rPr>
        <w:t>А.А. Яковенко</w:t>
      </w:r>
      <w:r>
        <w:rPr>
          <w:rFonts w:ascii="Times New Roman" w:hAnsi="Times New Roman"/>
          <w:sz w:val="24"/>
          <w:szCs w:val="24"/>
        </w:rPr>
        <w:t xml:space="preserve">, М.В. Жачко </w:t>
      </w:r>
      <w:r>
        <w:rPr>
          <w:rFonts w:ascii="Times New Roman" w:hAnsi="Times New Roman"/>
          <w:bCs/>
          <w:sz w:val="24"/>
          <w:szCs w:val="24"/>
        </w:rPr>
        <w:t xml:space="preserve">// </w:t>
      </w:r>
      <w:r w:rsidRPr="00932F27">
        <w:rPr>
          <w:rFonts w:ascii="Times New Roman" w:hAnsi="Times New Roman"/>
          <w:bCs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  <w:lang w:val="en-US"/>
        </w:rPr>
        <w:t>Deformation</w:t>
      </w:r>
      <w:r w:rsidRPr="00932F27">
        <w:rPr>
          <w:rFonts w:ascii="Times New Roman" w:hAnsi="Times New Roman"/>
          <w:sz w:val="24"/>
          <w:szCs w:val="24"/>
        </w:rPr>
        <w:t xml:space="preserve"> &amp; </w:t>
      </w:r>
      <w:r>
        <w:rPr>
          <w:rFonts w:ascii="Times New Roman" w:hAnsi="Times New Roman"/>
          <w:sz w:val="24"/>
          <w:szCs w:val="24"/>
          <w:lang w:val="en-US"/>
        </w:rPr>
        <w:t>Fracture</w:t>
      </w:r>
      <w:r w:rsidRPr="00932F2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of</w:t>
      </w:r>
      <w:r w:rsidRPr="00932F2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Materials</w:t>
      </w:r>
      <w:r w:rsidRPr="00932F2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and</w:t>
      </w:r>
      <w:r w:rsidRPr="00932F2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Nanomaterials</w:t>
      </w:r>
      <w:r w:rsidRPr="00932F27">
        <w:rPr>
          <w:rFonts w:ascii="Times New Roman" w:hAnsi="Times New Roman"/>
          <w:sz w:val="24"/>
          <w:szCs w:val="24"/>
        </w:rPr>
        <w:t xml:space="preserve">» - </w:t>
      </w:r>
      <w:r>
        <w:rPr>
          <w:rFonts w:ascii="Times New Roman" w:hAnsi="Times New Roman"/>
          <w:sz w:val="24"/>
          <w:szCs w:val="24"/>
          <w:lang w:val="en-US"/>
        </w:rPr>
        <w:t>DFMN</w:t>
      </w:r>
      <w:r w:rsidRPr="00932F27">
        <w:rPr>
          <w:rFonts w:ascii="Times New Roman" w:hAnsi="Times New Roman"/>
          <w:sz w:val="24"/>
          <w:szCs w:val="24"/>
        </w:rPr>
        <w:t>-2011</w:t>
      </w:r>
      <w:r>
        <w:rPr>
          <w:rFonts w:ascii="Times New Roman" w:hAnsi="Times New Roman"/>
          <w:sz w:val="24"/>
          <w:szCs w:val="24"/>
        </w:rPr>
        <w:t>: сборник материалов</w:t>
      </w:r>
      <w:r w:rsidRPr="00932F2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  <w:lang w:val="en-US"/>
        </w:rPr>
        <w:t>IV</w:t>
      </w:r>
      <w:r>
        <w:rPr>
          <w:rFonts w:ascii="Times New Roman" w:hAnsi="Times New Roman"/>
          <w:bCs/>
          <w:sz w:val="24"/>
          <w:szCs w:val="24"/>
        </w:rPr>
        <w:t xml:space="preserve"> Межд. конф.</w:t>
      </w:r>
      <w:r w:rsidRPr="00932F27">
        <w:rPr>
          <w:rFonts w:ascii="Times New Roman" w:hAnsi="Times New Roman"/>
          <w:bCs/>
          <w:sz w:val="24"/>
          <w:szCs w:val="24"/>
        </w:rPr>
        <w:t xml:space="preserve"> - </w:t>
      </w:r>
      <w:r>
        <w:rPr>
          <w:rFonts w:ascii="Times New Roman" w:hAnsi="Times New Roman"/>
          <w:sz w:val="24"/>
          <w:szCs w:val="24"/>
        </w:rPr>
        <w:t>М</w:t>
      </w:r>
      <w:r w:rsidRPr="00932F27">
        <w:rPr>
          <w:rFonts w:ascii="Times New Roman" w:hAnsi="Times New Roman"/>
          <w:sz w:val="24"/>
          <w:szCs w:val="24"/>
        </w:rPr>
        <w:t xml:space="preserve">.: </w:t>
      </w:r>
      <w:r>
        <w:rPr>
          <w:rFonts w:ascii="Times New Roman" w:hAnsi="Times New Roman"/>
          <w:sz w:val="24"/>
          <w:szCs w:val="24"/>
        </w:rPr>
        <w:t>ИМЕТ</w:t>
      </w:r>
      <w:r w:rsidRPr="00932F2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РАН, 2011. –</w:t>
      </w:r>
      <w:r w:rsidRPr="00932F2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</w:t>
      </w:r>
      <w:r w:rsidRPr="00932F27">
        <w:rPr>
          <w:rFonts w:ascii="Times New Roman" w:hAnsi="Times New Roman"/>
          <w:sz w:val="24"/>
          <w:szCs w:val="24"/>
        </w:rPr>
        <w:t>. 801-802.</w:t>
      </w:r>
    </w:p>
    <w:p w:rsidR="000E454D" w:rsidRDefault="000E454D" w:rsidP="000E454D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20. Зелевинский, А.К. Автоматизация измерений внутреннего трения и модуля упругости в оценке поврежденности сталей </w:t>
      </w:r>
      <w:r w:rsidRPr="00330C6E">
        <w:rPr>
          <w:rFonts w:ascii="Times New Roman" w:hAnsi="Times New Roman"/>
          <w:sz w:val="24"/>
          <w:szCs w:val="24"/>
        </w:rPr>
        <w:t>[</w:t>
      </w:r>
      <w:r>
        <w:rPr>
          <w:rFonts w:ascii="Times New Roman" w:hAnsi="Times New Roman"/>
          <w:sz w:val="24"/>
          <w:szCs w:val="24"/>
        </w:rPr>
        <w:t>Текст</w:t>
      </w:r>
      <w:r w:rsidRPr="00330C6E">
        <w:rPr>
          <w:rFonts w:ascii="Times New Roman" w:hAnsi="Times New Roman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 /  Зелевинский А.К., </w:t>
      </w:r>
      <w:r w:rsidRPr="006E1819">
        <w:rPr>
          <w:rFonts w:ascii="Times New Roman" w:hAnsi="Times New Roman"/>
          <w:b/>
          <w:sz w:val="24"/>
          <w:szCs w:val="24"/>
        </w:rPr>
        <w:t>Яковенко А.А.</w:t>
      </w:r>
      <w:r>
        <w:rPr>
          <w:rFonts w:ascii="Times New Roman" w:hAnsi="Times New Roman"/>
          <w:sz w:val="24"/>
          <w:szCs w:val="24"/>
        </w:rPr>
        <w:t xml:space="preserve"> // XII Межд. н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учно-техн. Уральская школа-семинар металловедов – молодых ученых: Сб. науч. тр. – Ек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теринбург: УрФУ, 2011. - С.137.</w:t>
      </w:r>
    </w:p>
    <w:p w:rsidR="00F855BB" w:rsidRDefault="000E454D" w:rsidP="00F855BB">
      <w:pPr>
        <w:pStyle w:val="a7"/>
        <w:widowControl w:val="0"/>
        <w:spacing w:after="0"/>
        <w:jc w:val="both"/>
      </w:pPr>
      <w:r>
        <w:t>21</w:t>
      </w:r>
      <w:r w:rsidR="00F855BB">
        <w:t>. Чуканов</w:t>
      </w:r>
      <w:r w:rsidR="00932F27">
        <w:t>,</w:t>
      </w:r>
      <w:r w:rsidR="00F855BB">
        <w:t xml:space="preserve"> А.Н. Внутреннее трение и феноменологическая модель деформационной п</w:t>
      </w:r>
      <w:r w:rsidR="00F855BB">
        <w:t>о</w:t>
      </w:r>
      <w:r w:rsidR="00F855BB">
        <w:t>вреждаемости малоуглеродистых сталей</w:t>
      </w:r>
      <w:r w:rsidR="006E1819">
        <w:t xml:space="preserve"> </w:t>
      </w:r>
      <w:r w:rsidR="006E1819" w:rsidRPr="00330C6E">
        <w:t>[</w:t>
      </w:r>
      <w:r w:rsidR="006E1819">
        <w:t>Текст</w:t>
      </w:r>
      <w:r w:rsidR="006E1819" w:rsidRPr="00330C6E">
        <w:t>]</w:t>
      </w:r>
      <w:r w:rsidR="006E1819">
        <w:t xml:space="preserve"> / А.Н.Чуканов, </w:t>
      </w:r>
      <w:r w:rsidR="006E1819" w:rsidRPr="00330C6E">
        <w:rPr>
          <w:b/>
        </w:rPr>
        <w:t>А.А. Яковенко</w:t>
      </w:r>
      <w:r w:rsidR="006E1819">
        <w:t xml:space="preserve"> </w:t>
      </w:r>
      <w:r w:rsidR="00F855BB">
        <w:t>//</w:t>
      </w:r>
      <w:r w:rsidR="006E1819">
        <w:t xml:space="preserve"> </w:t>
      </w:r>
      <w:r w:rsidR="00F855BB">
        <w:rPr>
          <w:caps/>
          <w:lang w:val="en-US"/>
        </w:rPr>
        <w:t>Materials</w:t>
      </w:r>
      <w:r w:rsidR="00F855BB">
        <w:rPr>
          <w:caps/>
        </w:rPr>
        <w:t xml:space="preserve"> </w:t>
      </w:r>
      <w:r w:rsidR="00F855BB">
        <w:rPr>
          <w:caps/>
          <w:lang w:val="en-US"/>
        </w:rPr>
        <w:t>of</w:t>
      </w:r>
      <w:r w:rsidR="00F855BB">
        <w:rPr>
          <w:caps/>
        </w:rPr>
        <w:t xml:space="preserve"> </w:t>
      </w:r>
      <w:r w:rsidR="00F855BB">
        <w:rPr>
          <w:caps/>
          <w:lang w:val="en-US"/>
        </w:rPr>
        <w:t>international</w:t>
      </w:r>
      <w:r w:rsidR="00F855BB">
        <w:rPr>
          <w:caps/>
        </w:rPr>
        <w:t xml:space="preserve"> </w:t>
      </w:r>
      <w:r w:rsidR="00F855BB">
        <w:rPr>
          <w:caps/>
          <w:lang w:val="en-US"/>
        </w:rPr>
        <w:t>scientific</w:t>
      </w:r>
      <w:r w:rsidR="00F855BB">
        <w:rPr>
          <w:caps/>
        </w:rPr>
        <w:t xml:space="preserve"> – </w:t>
      </w:r>
      <w:r w:rsidR="00F855BB">
        <w:rPr>
          <w:caps/>
          <w:lang w:val="en-US"/>
        </w:rPr>
        <w:t>practical</w:t>
      </w:r>
      <w:r w:rsidR="00F855BB">
        <w:rPr>
          <w:caps/>
        </w:rPr>
        <w:t xml:space="preserve"> </w:t>
      </w:r>
      <w:r w:rsidR="00F855BB">
        <w:rPr>
          <w:caps/>
          <w:lang w:val="en-US"/>
        </w:rPr>
        <w:t>conference</w:t>
      </w:r>
      <w:r w:rsidR="00F855BB">
        <w:t xml:space="preserve"> «</w:t>
      </w:r>
      <w:r w:rsidR="00F855BB">
        <w:rPr>
          <w:lang w:val="en-US"/>
        </w:rPr>
        <w:t>STRUCTURAL</w:t>
      </w:r>
      <w:r w:rsidR="00F855BB">
        <w:t xml:space="preserve"> </w:t>
      </w:r>
      <w:r w:rsidR="00F855BB">
        <w:rPr>
          <w:lang w:val="en-US"/>
        </w:rPr>
        <w:t>RELAXATION</w:t>
      </w:r>
      <w:r w:rsidR="00F855BB">
        <w:t xml:space="preserve"> </w:t>
      </w:r>
      <w:r w:rsidR="00F855BB">
        <w:rPr>
          <w:lang w:val="en-US"/>
        </w:rPr>
        <w:t>IN</w:t>
      </w:r>
      <w:r w:rsidR="00F855BB">
        <w:t xml:space="preserve"> </w:t>
      </w:r>
      <w:r w:rsidR="00F855BB">
        <w:rPr>
          <w:lang w:val="en-US"/>
        </w:rPr>
        <w:t>SOLIDS</w:t>
      </w:r>
      <w:r w:rsidR="00F855BB">
        <w:t xml:space="preserve">», </w:t>
      </w:r>
      <w:r w:rsidR="00F855BB">
        <w:rPr>
          <w:lang w:val="en-US"/>
        </w:rPr>
        <w:t>May</w:t>
      </w:r>
      <w:r w:rsidR="00F855BB">
        <w:t xml:space="preserve"> 29-31, 2012, </w:t>
      </w:r>
      <w:r w:rsidR="00F855BB">
        <w:rPr>
          <w:lang w:val="en-US"/>
        </w:rPr>
        <w:t>Vinnitsa</w:t>
      </w:r>
      <w:r w:rsidR="00F855BB">
        <w:t xml:space="preserve">, </w:t>
      </w:r>
      <w:r w:rsidR="00F855BB">
        <w:rPr>
          <w:lang w:val="en-US"/>
        </w:rPr>
        <w:t>Ukraine</w:t>
      </w:r>
      <w:r w:rsidR="00F855BB">
        <w:t xml:space="preserve">. – </w:t>
      </w:r>
      <w:r w:rsidR="00F855BB">
        <w:rPr>
          <w:lang w:val="en-US"/>
        </w:rPr>
        <w:t>P</w:t>
      </w:r>
      <w:r w:rsidR="00F855BB">
        <w:t>. 86-87.</w:t>
      </w:r>
    </w:p>
    <w:p w:rsidR="00F855BB" w:rsidRDefault="000E454D" w:rsidP="00F855BB">
      <w:pPr>
        <w:pStyle w:val="a7"/>
        <w:widowControl w:val="0"/>
        <w:spacing w:after="0"/>
        <w:jc w:val="both"/>
      </w:pPr>
      <w:r>
        <w:t>22</w:t>
      </w:r>
      <w:r w:rsidR="00F855BB">
        <w:t>. Чуканов</w:t>
      </w:r>
      <w:r w:rsidR="00932F27">
        <w:t>,</w:t>
      </w:r>
      <w:r w:rsidR="00F855BB">
        <w:t xml:space="preserve"> А.Н. Внутреннее трение, акустоэмиссионная и ультрозвуковая диагностика в</w:t>
      </w:r>
      <w:r w:rsidR="00F855BB">
        <w:t>о</w:t>
      </w:r>
      <w:r w:rsidR="00F855BB">
        <w:t>дородной повреждаемости малоуглеродистых сталей</w:t>
      </w:r>
      <w:r w:rsidR="006E1819">
        <w:t xml:space="preserve"> </w:t>
      </w:r>
      <w:r w:rsidR="006E1819" w:rsidRPr="00330C6E">
        <w:t>[</w:t>
      </w:r>
      <w:r w:rsidR="006E1819">
        <w:t>Текст</w:t>
      </w:r>
      <w:r w:rsidR="006E1819" w:rsidRPr="00330C6E">
        <w:t>]</w:t>
      </w:r>
      <w:r w:rsidR="006E1819">
        <w:t xml:space="preserve"> / А.Н.Чуканов, </w:t>
      </w:r>
      <w:r w:rsidR="006E1819" w:rsidRPr="00330C6E">
        <w:rPr>
          <w:b/>
        </w:rPr>
        <w:t>А.А. Яковенко</w:t>
      </w:r>
      <w:r w:rsidR="001B0735">
        <w:t>, М.В. Жачко</w:t>
      </w:r>
      <w:r w:rsidR="006E1819">
        <w:t xml:space="preserve"> </w:t>
      </w:r>
      <w:r w:rsidR="00F855BB">
        <w:t>//</w:t>
      </w:r>
      <w:r w:rsidR="006E1819">
        <w:t xml:space="preserve"> </w:t>
      </w:r>
      <w:r w:rsidR="00F855BB">
        <w:rPr>
          <w:caps/>
          <w:lang w:val="en-US"/>
        </w:rPr>
        <w:t>Materials</w:t>
      </w:r>
      <w:r w:rsidR="00F855BB">
        <w:rPr>
          <w:caps/>
        </w:rPr>
        <w:t xml:space="preserve"> </w:t>
      </w:r>
      <w:r w:rsidR="00F855BB">
        <w:rPr>
          <w:caps/>
          <w:lang w:val="en-US"/>
        </w:rPr>
        <w:t>of</w:t>
      </w:r>
      <w:r w:rsidR="00F855BB">
        <w:rPr>
          <w:caps/>
        </w:rPr>
        <w:t xml:space="preserve"> </w:t>
      </w:r>
      <w:r w:rsidR="00F855BB">
        <w:rPr>
          <w:caps/>
          <w:lang w:val="en-US"/>
        </w:rPr>
        <w:t>international</w:t>
      </w:r>
      <w:r w:rsidR="00F855BB">
        <w:rPr>
          <w:caps/>
        </w:rPr>
        <w:t xml:space="preserve"> </w:t>
      </w:r>
      <w:r w:rsidR="00F855BB">
        <w:rPr>
          <w:caps/>
          <w:lang w:val="en-US"/>
        </w:rPr>
        <w:t>scientific</w:t>
      </w:r>
      <w:r w:rsidR="00F855BB">
        <w:rPr>
          <w:caps/>
        </w:rPr>
        <w:t xml:space="preserve"> – </w:t>
      </w:r>
      <w:r w:rsidR="00F855BB">
        <w:rPr>
          <w:caps/>
          <w:lang w:val="en-US"/>
        </w:rPr>
        <w:t>practical</w:t>
      </w:r>
      <w:r w:rsidR="00F855BB">
        <w:rPr>
          <w:caps/>
        </w:rPr>
        <w:t xml:space="preserve"> </w:t>
      </w:r>
      <w:r w:rsidR="00F855BB">
        <w:rPr>
          <w:caps/>
          <w:lang w:val="en-US"/>
        </w:rPr>
        <w:t>conference</w:t>
      </w:r>
      <w:r w:rsidR="00F855BB">
        <w:t xml:space="preserve"> «</w:t>
      </w:r>
      <w:r w:rsidR="00F855BB">
        <w:rPr>
          <w:lang w:val="en-US"/>
        </w:rPr>
        <w:t>STRUCTURAL</w:t>
      </w:r>
      <w:r w:rsidR="00F855BB">
        <w:t xml:space="preserve"> </w:t>
      </w:r>
      <w:r w:rsidR="00F855BB">
        <w:rPr>
          <w:lang w:val="en-US"/>
        </w:rPr>
        <w:t>RELAXATION</w:t>
      </w:r>
      <w:r w:rsidR="00F855BB">
        <w:t xml:space="preserve"> </w:t>
      </w:r>
      <w:r w:rsidR="00F855BB">
        <w:rPr>
          <w:lang w:val="en-US"/>
        </w:rPr>
        <w:t>IN</w:t>
      </w:r>
      <w:r w:rsidR="00F855BB">
        <w:t xml:space="preserve"> </w:t>
      </w:r>
      <w:r w:rsidR="00F855BB">
        <w:rPr>
          <w:lang w:val="en-US"/>
        </w:rPr>
        <w:t>SOLIDS</w:t>
      </w:r>
      <w:r w:rsidR="00F855BB">
        <w:t xml:space="preserve">», </w:t>
      </w:r>
      <w:r w:rsidR="00F855BB">
        <w:rPr>
          <w:lang w:val="en-US"/>
        </w:rPr>
        <w:t>May</w:t>
      </w:r>
      <w:r w:rsidR="00F855BB">
        <w:t xml:space="preserve"> 29-31, 2012, </w:t>
      </w:r>
      <w:r w:rsidR="00F855BB">
        <w:rPr>
          <w:lang w:val="en-US"/>
        </w:rPr>
        <w:t>Vinnitsa</w:t>
      </w:r>
      <w:r w:rsidR="00F855BB">
        <w:t xml:space="preserve">, </w:t>
      </w:r>
      <w:r w:rsidR="00F855BB">
        <w:rPr>
          <w:lang w:val="en-US"/>
        </w:rPr>
        <w:t>Ukraine</w:t>
      </w:r>
      <w:r w:rsidR="00F855BB">
        <w:t xml:space="preserve">. – </w:t>
      </w:r>
      <w:r w:rsidR="00F855BB">
        <w:rPr>
          <w:lang w:val="en-US"/>
        </w:rPr>
        <w:t>P</w:t>
      </w:r>
      <w:r w:rsidR="00F855BB">
        <w:t>. 88-90.</w:t>
      </w:r>
    </w:p>
    <w:p w:rsidR="00F855BB" w:rsidRDefault="000E454D" w:rsidP="00F855BB">
      <w:pPr>
        <w:widowControl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23</w:t>
      </w:r>
      <w:r w:rsidR="00F855BB">
        <w:rPr>
          <w:rFonts w:ascii="Times New Roman" w:hAnsi="Times New Roman"/>
          <w:sz w:val="24"/>
          <w:szCs w:val="24"/>
        </w:rPr>
        <w:t>. Чуканов</w:t>
      </w:r>
      <w:r w:rsidR="00932F27">
        <w:rPr>
          <w:rFonts w:ascii="Times New Roman" w:hAnsi="Times New Roman"/>
          <w:sz w:val="24"/>
          <w:szCs w:val="24"/>
        </w:rPr>
        <w:t>,</w:t>
      </w:r>
      <w:r w:rsidR="00F855BB">
        <w:rPr>
          <w:rFonts w:ascii="Times New Roman" w:hAnsi="Times New Roman"/>
          <w:sz w:val="24"/>
          <w:szCs w:val="24"/>
        </w:rPr>
        <w:t xml:space="preserve"> А.Н. Контроль поврежденности малоуглеродистой стаей методами диссипации энергии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 w:rsidR="006E1819" w:rsidRPr="00330C6E">
        <w:rPr>
          <w:rFonts w:ascii="Times New Roman" w:hAnsi="Times New Roman"/>
          <w:sz w:val="24"/>
          <w:szCs w:val="24"/>
        </w:rPr>
        <w:t>[</w:t>
      </w:r>
      <w:r w:rsidR="006E1819">
        <w:rPr>
          <w:rFonts w:ascii="Times New Roman" w:hAnsi="Times New Roman"/>
          <w:sz w:val="24"/>
          <w:szCs w:val="24"/>
        </w:rPr>
        <w:t>Текст</w:t>
      </w:r>
      <w:r w:rsidR="006E1819" w:rsidRPr="00330C6E">
        <w:rPr>
          <w:rFonts w:ascii="Times New Roman" w:hAnsi="Times New Roman"/>
          <w:sz w:val="24"/>
          <w:szCs w:val="24"/>
        </w:rPr>
        <w:t>]</w:t>
      </w:r>
      <w:r w:rsidR="006E1819">
        <w:rPr>
          <w:rFonts w:ascii="Times New Roman" w:hAnsi="Times New Roman"/>
          <w:sz w:val="24"/>
          <w:szCs w:val="24"/>
        </w:rPr>
        <w:t xml:space="preserve"> / А.Н.Чуканов, </w:t>
      </w:r>
      <w:r w:rsidR="006E1819" w:rsidRPr="00330C6E">
        <w:rPr>
          <w:rFonts w:ascii="Times New Roman" w:hAnsi="Times New Roman"/>
          <w:b/>
          <w:sz w:val="24"/>
          <w:szCs w:val="24"/>
        </w:rPr>
        <w:t>А.А. Яковенко</w:t>
      </w:r>
      <w:r w:rsidR="001B0735" w:rsidRPr="001B0735">
        <w:rPr>
          <w:rFonts w:ascii="Times New Roman" w:hAnsi="Times New Roman"/>
          <w:sz w:val="24"/>
          <w:szCs w:val="24"/>
        </w:rPr>
        <w:t>,</w:t>
      </w:r>
      <w:r w:rsidR="001B0735">
        <w:t xml:space="preserve"> </w:t>
      </w:r>
      <w:r w:rsidR="001B0735" w:rsidRPr="001B0735">
        <w:rPr>
          <w:rFonts w:ascii="Times New Roman" w:hAnsi="Times New Roman"/>
          <w:sz w:val="24"/>
          <w:szCs w:val="24"/>
        </w:rPr>
        <w:t>М.В. Жачко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 w:rsidR="00F855BB">
        <w:rPr>
          <w:rFonts w:ascii="Times New Roman" w:hAnsi="Times New Roman"/>
          <w:sz w:val="24"/>
          <w:szCs w:val="24"/>
        </w:rPr>
        <w:t>//</w:t>
      </w:r>
      <w:r w:rsidR="006E1819">
        <w:rPr>
          <w:rFonts w:ascii="Times New Roman" w:hAnsi="Times New Roman"/>
          <w:sz w:val="24"/>
          <w:szCs w:val="24"/>
        </w:rPr>
        <w:t xml:space="preserve"> </w:t>
      </w:r>
      <w:r w:rsidR="00932F27">
        <w:rPr>
          <w:rFonts w:ascii="Times New Roman" w:hAnsi="Times New Roman"/>
          <w:sz w:val="24"/>
          <w:szCs w:val="24"/>
        </w:rPr>
        <w:t xml:space="preserve">«Прочность неоднородных структур» (ПРОСТ 2012): сборник трудов  </w:t>
      </w:r>
      <w:r w:rsidR="00F855BB">
        <w:rPr>
          <w:rFonts w:ascii="Times New Roman" w:hAnsi="Times New Roman"/>
          <w:sz w:val="24"/>
          <w:szCs w:val="24"/>
          <w:lang w:val="en-US"/>
        </w:rPr>
        <w:t>VI</w:t>
      </w:r>
      <w:r w:rsidR="00F855BB">
        <w:rPr>
          <w:rFonts w:ascii="Times New Roman" w:hAnsi="Times New Roman"/>
          <w:sz w:val="24"/>
          <w:szCs w:val="24"/>
        </w:rPr>
        <w:t xml:space="preserve"> Евразийск</w:t>
      </w:r>
      <w:r w:rsidR="00932F27">
        <w:rPr>
          <w:rFonts w:ascii="Times New Roman" w:hAnsi="Times New Roman"/>
          <w:sz w:val="24"/>
          <w:szCs w:val="24"/>
        </w:rPr>
        <w:t>ой</w:t>
      </w:r>
      <w:r w:rsidR="00F855BB">
        <w:rPr>
          <w:rFonts w:ascii="Times New Roman" w:hAnsi="Times New Roman"/>
          <w:sz w:val="24"/>
          <w:szCs w:val="24"/>
        </w:rPr>
        <w:t xml:space="preserve"> научно-практ. конф.- Москва,</w:t>
      </w:r>
      <w:r w:rsidR="00932F27">
        <w:rPr>
          <w:rFonts w:ascii="Times New Roman" w:hAnsi="Times New Roman"/>
          <w:sz w:val="24"/>
          <w:szCs w:val="24"/>
        </w:rPr>
        <w:t xml:space="preserve"> 2012</w:t>
      </w:r>
      <w:r w:rsidR="00F855BB">
        <w:rPr>
          <w:rFonts w:ascii="Times New Roman" w:hAnsi="Times New Roman"/>
          <w:sz w:val="24"/>
          <w:szCs w:val="24"/>
        </w:rPr>
        <w:t>. - С. 163.</w:t>
      </w:r>
    </w:p>
    <w:p w:rsidR="001B4885" w:rsidRPr="001B4885" w:rsidRDefault="001B4885" w:rsidP="001B4885">
      <w:pPr>
        <w:jc w:val="center"/>
        <w:rPr>
          <w:rFonts w:ascii="Times New Roman" w:hAnsi="Times New Roman"/>
          <w:color w:val="000000"/>
        </w:rPr>
      </w:pPr>
      <w:r w:rsidRPr="001B4885">
        <w:rPr>
          <w:rFonts w:ascii="Times New Roman" w:hAnsi="Times New Roman"/>
          <w:color w:val="000000"/>
        </w:rPr>
        <w:t xml:space="preserve">Подписано в печать </w:t>
      </w:r>
      <w:r w:rsidRPr="001B4885">
        <w:rPr>
          <w:rFonts w:ascii="Times New Roman" w:hAnsi="Times New Roman"/>
          <w:color w:val="000000"/>
          <w:u w:val="single"/>
        </w:rPr>
        <w:t>«</w:t>
      </w:r>
      <w:r w:rsidRPr="001B4885">
        <w:rPr>
          <w:rFonts w:ascii="Times New Roman" w:hAnsi="Times New Roman"/>
          <w:i/>
          <w:color w:val="000000"/>
          <w:u w:val="single"/>
        </w:rPr>
        <w:t>25</w:t>
      </w:r>
      <w:r w:rsidRPr="001B4885">
        <w:rPr>
          <w:rFonts w:ascii="Times New Roman" w:hAnsi="Times New Roman"/>
          <w:color w:val="000000"/>
          <w:u w:val="single"/>
        </w:rPr>
        <w:t>» сентября 2012г</w:t>
      </w:r>
      <w:r w:rsidRPr="001B4885">
        <w:rPr>
          <w:rFonts w:ascii="Times New Roman" w:hAnsi="Times New Roman"/>
          <w:color w:val="000000"/>
        </w:rPr>
        <w:t>. Формат 60x84 1/16.</w:t>
      </w:r>
    </w:p>
    <w:p w:rsidR="001B4885" w:rsidRPr="001B4885" w:rsidRDefault="001B4885" w:rsidP="001B4885">
      <w:pPr>
        <w:jc w:val="center"/>
        <w:rPr>
          <w:rFonts w:ascii="Times New Roman" w:hAnsi="Times New Roman"/>
          <w:color w:val="000000"/>
        </w:rPr>
      </w:pPr>
      <w:r w:rsidRPr="001B4885">
        <w:rPr>
          <w:rFonts w:ascii="Times New Roman" w:hAnsi="Times New Roman"/>
          <w:color w:val="000000"/>
        </w:rPr>
        <w:t xml:space="preserve">Бумага офсетная. Печ. л. 1,0. Тираж 120 экз. Заказ </w:t>
      </w:r>
      <w:r w:rsidRPr="001B4885">
        <w:rPr>
          <w:rFonts w:ascii="Times New Roman" w:hAnsi="Times New Roman"/>
          <w:i/>
          <w:color w:val="000000"/>
          <w:u w:val="single"/>
        </w:rPr>
        <w:t>123</w:t>
      </w:r>
    </w:p>
    <w:p w:rsidR="001B4885" w:rsidRPr="001B4885" w:rsidRDefault="001B4885" w:rsidP="001B4885">
      <w:pPr>
        <w:jc w:val="center"/>
        <w:rPr>
          <w:rFonts w:ascii="Times New Roman" w:hAnsi="Times New Roman"/>
          <w:color w:val="000000"/>
        </w:rPr>
      </w:pPr>
      <w:r w:rsidRPr="001B4885">
        <w:rPr>
          <w:rFonts w:ascii="Times New Roman" w:hAnsi="Times New Roman"/>
          <w:color w:val="000000"/>
        </w:rPr>
        <w:t>Юго-Западный государственный университет.</w:t>
      </w:r>
    </w:p>
    <w:p w:rsidR="001B4885" w:rsidRPr="001B4885" w:rsidRDefault="001B4885" w:rsidP="001B4885">
      <w:pPr>
        <w:jc w:val="center"/>
        <w:rPr>
          <w:rFonts w:ascii="Times New Roman" w:hAnsi="Times New Roman"/>
          <w:color w:val="000000"/>
        </w:rPr>
      </w:pPr>
      <w:r w:rsidRPr="001B4885">
        <w:rPr>
          <w:rFonts w:ascii="Times New Roman" w:hAnsi="Times New Roman"/>
          <w:color w:val="000000"/>
        </w:rPr>
        <w:t>305040, г. Курск, ул. 50 лет Октября, 94.</w:t>
      </w:r>
    </w:p>
    <w:p w:rsidR="000D25FB" w:rsidRPr="001B4885" w:rsidRDefault="001B4885" w:rsidP="001B4885">
      <w:pPr>
        <w:jc w:val="center"/>
        <w:rPr>
          <w:rFonts w:ascii="Times New Roman" w:hAnsi="Times New Roman"/>
          <w:color w:val="000000"/>
        </w:rPr>
      </w:pPr>
      <w:r w:rsidRPr="001B4885">
        <w:rPr>
          <w:rFonts w:ascii="Times New Roman" w:hAnsi="Times New Roman"/>
          <w:color w:val="000000"/>
        </w:rPr>
        <w:t>Отпечатано в ЮЗГУ.</w:t>
      </w:r>
    </w:p>
    <w:sectPr w:rsidR="000D25FB" w:rsidRPr="001B4885" w:rsidSect="00F855BB">
      <w:headerReference w:type="even" r:id="rId34"/>
      <w:headerReference w:type="default" r:id="rId35"/>
      <w:pgSz w:w="11906" w:h="16838"/>
      <w:pgMar w:top="113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1CA4" w:rsidRDefault="001A1CA4" w:rsidP="00F855BB">
      <w:r>
        <w:separator/>
      </w:r>
    </w:p>
  </w:endnote>
  <w:endnote w:type="continuationSeparator" w:id="0">
    <w:p w:rsidR="001A1CA4" w:rsidRDefault="001A1CA4" w:rsidP="00F855B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1CA4" w:rsidRDefault="001A1CA4" w:rsidP="00F855BB">
      <w:r>
        <w:separator/>
      </w:r>
    </w:p>
  </w:footnote>
  <w:footnote w:type="continuationSeparator" w:id="0">
    <w:p w:rsidR="001A1CA4" w:rsidRDefault="001A1CA4" w:rsidP="00F855BB">
      <w:r>
        <w:continuationSeparator/>
      </w:r>
    </w:p>
  </w:footnote>
  <w:footnote w:id="1">
    <w:p w:rsidR="00A45954" w:rsidRDefault="00A45954" w:rsidP="00F855BB">
      <w:pPr>
        <w:pStyle w:val="ad"/>
      </w:pPr>
      <w:r>
        <w:rPr>
          <w:rStyle w:val="af"/>
        </w:rPr>
        <w:footnoteRef/>
      </w:r>
      <w:r>
        <w:t xml:space="preserve"> </w:t>
      </w:r>
      <w:r w:rsidRPr="00E227F1">
        <w:rPr>
          <w:rFonts w:ascii="Times New Roman" w:hAnsi="Times New Roman"/>
        </w:rPr>
        <w:t>Гладышев Г.П. Кинетическая термодинамика как физико-химическая основа получения материалов в услов</w:t>
      </w:r>
      <w:r w:rsidRPr="00E227F1">
        <w:rPr>
          <w:rFonts w:ascii="Times New Roman" w:hAnsi="Times New Roman"/>
        </w:rPr>
        <w:t>и</w:t>
      </w:r>
      <w:r w:rsidRPr="00E227F1">
        <w:rPr>
          <w:rFonts w:ascii="Times New Roman" w:hAnsi="Times New Roman"/>
        </w:rPr>
        <w:t>ях самосборки//МиТОМ.-2006.-№9.-С.8-11.</w:t>
      </w:r>
    </w:p>
  </w:footnote>
  <w:footnote w:id="2">
    <w:p w:rsidR="00A45954" w:rsidRDefault="00A45954" w:rsidP="00F855BB">
      <w:pPr>
        <w:pStyle w:val="ad"/>
      </w:pPr>
      <w:r>
        <w:rPr>
          <w:rStyle w:val="af"/>
        </w:rPr>
        <w:footnoteRef/>
      </w:r>
      <w:r>
        <w:t xml:space="preserve"> </w:t>
      </w:r>
      <w:r w:rsidRPr="00EF699E">
        <w:rPr>
          <w:rFonts w:ascii="Times New Roman" w:hAnsi="Times New Roman"/>
        </w:rPr>
        <w:t>Муравлева Л.В. Диссертация на соиск. уч. степени канд. техн. наук.- Тула: ТулГУ, 1997.-187 с.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954" w:rsidRDefault="002C4031">
    <w:pPr>
      <w:pStyle w:val="a3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A45954"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A45954" w:rsidRDefault="00A45954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954" w:rsidRDefault="002C4031">
    <w:pPr>
      <w:pStyle w:val="a3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A45954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6D1CD6">
      <w:rPr>
        <w:rStyle w:val="af0"/>
        <w:noProof/>
      </w:rPr>
      <w:t>17</w:t>
    </w:r>
    <w:r>
      <w:rPr>
        <w:rStyle w:val="af0"/>
      </w:rPr>
      <w:fldChar w:fldCharType="end"/>
    </w:r>
  </w:p>
  <w:p w:rsidR="00A45954" w:rsidRDefault="00A45954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A10362"/>
    <w:multiLevelType w:val="hybridMultilevel"/>
    <w:tmpl w:val="E7F070A4"/>
    <w:lvl w:ilvl="0" w:tplc="CADCF0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F9E931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034AA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EEE2C4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C7ADF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A0646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53047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D1C02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DFCCE5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22B47F16"/>
    <w:multiLevelType w:val="singleLevel"/>
    <w:tmpl w:val="63F2D898"/>
    <w:lvl w:ilvl="0"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2">
    <w:nsid w:val="23F82A0A"/>
    <w:multiLevelType w:val="hybridMultilevel"/>
    <w:tmpl w:val="1C66FB04"/>
    <w:lvl w:ilvl="0" w:tplc="7946E9F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4F097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1CC29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D890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E44D4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0BE8E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89233F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2ECDA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0C6ED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319E375F"/>
    <w:multiLevelType w:val="hybridMultilevel"/>
    <w:tmpl w:val="CAA6C33A"/>
    <w:lvl w:ilvl="0" w:tplc="25ACB4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20216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0FAD6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92A29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0C2FA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A50E9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1E82A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62429B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D5E19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31FD779E"/>
    <w:multiLevelType w:val="hybridMultilevel"/>
    <w:tmpl w:val="8C0C19BE"/>
    <w:lvl w:ilvl="0" w:tplc="EBB644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466DE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13A05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BC8DC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84C8C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868F66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85E6D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DB044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7F2F2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395657F4"/>
    <w:multiLevelType w:val="hybridMultilevel"/>
    <w:tmpl w:val="DDF49C74"/>
    <w:lvl w:ilvl="0" w:tplc="AE50E20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760D1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5EE91D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2904F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376A7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F4263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BC6286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10658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634A9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3BBB3B81"/>
    <w:multiLevelType w:val="hybridMultilevel"/>
    <w:tmpl w:val="27B847CA"/>
    <w:lvl w:ilvl="0" w:tplc="1542C6B8">
      <w:start w:val="1"/>
      <w:numFmt w:val="decimal"/>
      <w:lvlText w:val="%1."/>
      <w:lvlJc w:val="left"/>
      <w:pPr>
        <w:ind w:left="1211" w:hanging="360"/>
      </w:pPr>
      <w:rPr>
        <w:rFonts w:hint="default"/>
        <w:sz w:val="26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>
    <w:nsid w:val="3CD74059"/>
    <w:multiLevelType w:val="hybridMultilevel"/>
    <w:tmpl w:val="72349D12"/>
    <w:lvl w:ilvl="0" w:tplc="6A6AFBB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8910ABD4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62329504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45FAD70E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AE6E5F06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EB7810AC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15AA85C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DCBEE820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C344B81E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8">
    <w:nsid w:val="3F35061B"/>
    <w:multiLevelType w:val="hybridMultilevel"/>
    <w:tmpl w:val="B624F85E"/>
    <w:lvl w:ilvl="0" w:tplc="B9509F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3AAEB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F086A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4D2EDE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F462E2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622A20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A82D2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D2047B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14DC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>
    <w:nsid w:val="7A7C4A3A"/>
    <w:multiLevelType w:val="hybridMultilevel"/>
    <w:tmpl w:val="74CE66FA"/>
    <w:lvl w:ilvl="0" w:tplc="04190013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rFonts w:hint="default"/>
      </w:rPr>
    </w:lvl>
    <w:lvl w:ilvl="1" w:tplc="50CE51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3DCC9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C4204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1DEA3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8CC3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686D05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6FAB67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96C9B2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6"/>
  </w:num>
  <w:num w:numId="2">
    <w:abstractNumId w:val="7"/>
  </w:num>
  <w:num w:numId="3">
    <w:abstractNumId w:val="9"/>
  </w:num>
  <w:num w:numId="4">
    <w:abstractNumId w:val="2"/>
  </w:num>
  <w:num w:numId="5">
    <w:abstractNumId w:val="4"/>
  </w:num>
  <w:num w:numId="6">
    <w:abstractNumId w:val="3"/>
  </w:num>
  <w:num w:numId="7">
    <w:abstractNumId w:val="8"/>
  </w:num>
  <w:num w:numId="8">
    <w:abstractNumId w:val="0"/>
  </w:num>
  <w:num w:numId="9">
    <w:abstractNumId w:val="5"/>
  </w:num>
  <w:num w:numId="1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hyphenationZone w:val="357"/>
  <w:doNotHyphenateCaps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855BB"/>
    <w:rsid w:val="000123EB"/>
    <w:rsid w:val="000206CA"/>
    <w:rsid w:val="00041A8B"/>
    <w:rsid w:val="000C7EE6"/>
    <w:rsid w:val="000D1ED0"/>
    <w:rsid w:val="000D25FB"/>
    <w:rsid w:val="000E454D"/>
    <w:rsid w:val="0012281A"/>
    <w:rsid w:val="0015096C"/>
    <w:rsid w:val="00180AE8"/>
    <w:rsid w:val="001943D6"/>
    <w:rsid w:val="001A1CA4"/>
    <w:rsid w:val="001A3444"/>
    <w:rsid w:val="001B0735"/>
    <w:rsid w:val="001B4885"/>
    <w:rsid w:val="001D1190"/>
    <w:rsid w:val="001E0375"/>
    <w:rsid w:val="00211213"/>
    <w:rsid w:val="00245610"/>
    <w:rsid w:val="00257BFF"/>
    <w:rsid w:val="00267C22"/>
    <w:rsid w:val="00282EFB"/>
    <w:rsid w:val="002B32EC"/>
    <w:rsid w:val="002C270F"/>
    <w:rsid w:val="002C4031"/>
    <w:rsid w:val="002E0108"/>
    <w:rsid w:val="003002E5"/>
    <w:rsid w:val="00330C6E"/>
    <w:rsid w:val="00354414"/>
    <w:rsid w:val="003736D8"/>
    <w:rsid w:val="00445B50"/>
    <w:rsid w:val="0049009B"/>
    <w:rsid w:val="004A1758"/>
    <w:rsid w:val="004C5E46"/>
    <w:rsid w:val="00514049"/>
    <w:rsid w:val="00566053"/>
    <w:rsid w:val="00575CDB"/>
    <w:rsid w:val="005A1431"/>
    <w:rsid w:val="005D15BE"/>
    <w:rsid w:val="005E19B0"/>
    <w:rsid w:val="006032A9"/>
    <w:rsid w:val="006077F3"/>
    <w:rsid w:val="00642EAA"/>
    <w:rsid w:val="006D1CD6"/>
    <w:rsid w:val="006E1819"/>
    <w:rsid w:val="007A5F12"/>
    <w:rsid w:val="007F7D21"/>
    <w:rsid w:val="0080346C"/>
    <w:rsid w:val="00806AF1"/>
    <w:rsid w:val="008821AB"/>
    <w:rsid w:val="008B723B"/>
    <w:rsid w:val="008D2584"/>
    <w:rsid w:val="00932F27"/>
    <w:rsid w:val="00950E61"/>
    <w:rsid w:val="00955838"/>
    <w:rsid w:val="009A2CEA"/>
    <w:rsid w:val="009A32F9"/>
    <w:rsid w:val="00A32308"/>
    <w:rsid w:val="00A45954"/>
    <w:rsid w:val="00AE4ADD"/>
    <w:rsid w:val="00AF1512"/>
    <w:rsid w:val="00B04EA0"/>
    <w:rsid w:val="00B13809"/>
    <w:rsid w:val="00B21993"/>
    <w:rsid w:val="00BC06ED"/>
    <w:rsid w:val="00BD3F50"/>
    <w:rsid w:val="00C16C5A"/>
    <w:rsid w:val="00C43029"/>
    <w:rsid w:val="00C623A5"/>
    <w:rsid w:val="00CA6011"/>
    <w:rsid w:val="00CD6311"/>
    <w:rsid w:val="00CF2C1B"/>
    <w:rsid w:val="00D37D8E"/>
    <w:rsid w:val="00D5050E"/>
    <w:rsid w:val="00DA4FF6"/>
    <w:rsid w:val="00DC68E2"/>
    <w:rsid w:val="00E11EA5"/>
    <w:rsid w:val="00E144BD"/>
    <w:rsid w:val="00EF699E"/>
    <w:rsid w:val="00F23415"/>
    <w:rsid w:val="00F73CED"/>
    <w:rsid w:val="00F855BB"/>
    <w:rsid w:val="00FA344E"/>
    <w:rsid w:val="00FB4096"/>
    <w:rsid w:val="00FB56D4"/>
    <w:rsid w:val="00FE30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2" type="connector" idref="#_x0000_s103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55BB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F855BB"/>
    <w:pPr>
      <w:overflowPunct w:val="0"/>
      <w:autoSpaceDE w:val="0"/>
      <w:autoSpaceDN w:val="0"/>
      <w:adjustRightInd w:val="0"/>
      <w:ind w:firstLine="567"/>
      <w:textAlignment w:val="baseline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a3">
    <w:name w:val="header"/>
    <w:basedOn w:val="a"/>
    <w:link w:val="a4"/>
    <w:semiHidden/>
    <w:unhideWhenUsed/>
    <w:rsid w:val="00F855B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semiHidden/>
    <w:rsid w:val="00F855BB"/>
    <w:rPr>
      <w:rFonts w:ascii="Calibri" w:eastAsia="Calibri" w:hAnsi="Calibri" w:cs="Times New Roman"/>
    </w:rPr>
  </w:style>
  <w:style w:type="paragraph" w:styleId="a5">
    <w:name w:val="footer"/>
    <w:basedOn w:val="a"/>
    <w:link w:val="a6"/>
    <w:semiHidden/>
    <w:unhideWhenUsed/>
    <w:rsid w:val="00F855B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semiHidden/>
    <w:rsid w:val="00F855BB"/>
    <w:rPr>
      <w:rFonts w:ascii="Calibri" w:eastAsia="Calibri" w:hAnsi="Calibri" w:cs="Times New Roman"/>
    </w:rPr>
  </w:style>
  <w:style w:type="paragraph" w:customStyle="1" w:styleId="caaieiaie1">
    <w:name w:val="caaieiaie 1"/>
    <w:basedOn w:val="a"/>
    <w:next w:val="a"/>
    <w:rsid w:val="00F855BB"/>
    <w:pPr>
      <w:keepNext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a7">
    <w:name w:val="Body Text"/>
    <w:basedOn w:val="a"/>
    <w:link w:val="a8"/>
    <w:semiHidden/>
    <w:rsid w:val="00F855BB"/>
    <w:pPr>
      <w:spacing w:after="120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a8">
    <w:name w:val="Основной текст Знак"/>
    <w:basedOn w:val="a0"/>
    <w:link w:val="a7"/>
    <w:semiHidden/>
    <w:rsid w:val="00F855BB"/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a9">
    <w:name w:val="List Paragraph"/>
    <w:basedOn w:val="a"/>
    <w:qFormat/>
    <w:rsid w:val="00F855BB"/>
    <w:pPr>
      <w:ind w:left="720"/>
      <w:contextualSpacing/>
    </w:pPr>
  </w:style>
  <w:style w:type="paragraph" w:styleId="aa">
    <w:name w:val="Normal (Web)"/>
    <w:basedOn w:val="a"/>
    <w:semiHidden/>
    <w:unhideWhenUsed/>
    <w:rsid w:val="00F855BB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b">
    <w:name w:val="Body Text Indent"/>
    <w:basedOn w:val="a"/>
    <w:link w:val="ac"/>
    <w:semiHidden/>
    <w:unhideWhenUsed/>
    <w:rsid w:val="00F855BB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semiHidden/>
    <w:rsid w:val="00F855BB"/>
    <w:rPr>
      <w:rFonts w:ascii="Calibri" w:eastAsia="Calibri" w:hAnsi="Calibri" w:cs="Times New Roman"/>
    </w:rPr>
  </w:style>
  <w:style w:type="paragraph" w:styleId="ad">
    <w:name w:val="footnote text"/>
    <w:basedOn w:val="a"/>
    <w:link w:val="ae"/>
    <w:semiHidden/>
    <w:unhideWhenUsed/>
    <w:rsid w:val="00F855BB"/>
    <w:rPr>
      <w:sz w:val="20"/>
      <w:szCs w:val="20"/>
    </w:rPr>
  </w:style>
  <w:style w:type="character" w:customStyle="1" w:styleId="ae">
    <w:name w:val="Текст сноски Знак"/>
    <w:basedOn w:val="a0"/>
    <w:link w:val="ad"/>
    <w:semiHidden/>
    <w:rsid w:val="00F855BB"/>
    <w:rPr>
      <w:rFonts w:ascii="Calibri" w:eastAsia="Calibri" w:hAnsi="Calibri" w:cs="Times New Roman"/>
      <w:sz w:val="20"/>
      <w:szCs w:val="20"/>
    </w:rPr>
  </w:style>
  <w:style w:type="character" w:styleId="af">
    <w:name w:val="footnote reference"/>
    <w:basedOn w:val="a0"/>
    <w:semiHidden/>
    <w:unhideWhenUsed/>
    <w:rsid w:val="00F855BB"/>
    <w:rPr>
      <w:vertAlign w:val="superscript"/>
    </w:rPr>
  </w:style>
  <w:style w:type="character" w:styleId="af0">
    <w:name w:val="page number"/>
    <w:basedOn w:val="a0"/>
    <w:semiHidden/>
    <w:rsid w:val="00F855BB"/>
  </w:style>
  <w:style w:type="paragraph" w:styleId="af1">
    <w:name w:val="Balloon Text"/>
    <w:basedOn w:val="a"/>
    <w:link w:val="af2"/>
    <w:uiPriority w:val="99"/>
    <w:semiHidden/>
    <w:unhideWhenUsed/>
    <w:rsid w:val="001943D6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1943D6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package" Target="embeddings/______Microsoft_Office_PowerPoint1.sldx"/><Relationship Id="rId26" Type="http://schemas.openxmlformats.org/officeDocument/2006/relationships/chart" Target="charts/chart4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emf"/><Relationship Id="rId25" Type="http://schemas.openxmlformats.org/officeDocument/2006/relationships/image" Target="media/image16.png"/><Relationship Id="rId33" Type="http://schemas.microsoft.com/office/2007/relationships/diagramDrawing" Target="diagrams/drawing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diagramData" Target="diagrams/data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diagramColors" Target="diagrams/colors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chart" Target="charts/chart2.xml"/><Relationship Id="rId23" Type="http://schemas.openxmlformats.org/officeDocument/2006/relationships/image" Target="media/image14.png"/><Relationship Id="rId28" Type="http://schemas.openxmlformats.org/officeDocument/2006/relationships/chart" Target="charts/chart5.xml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chart" Target="charts/chart3.xml"/><Relationship Id="rId31" Type="http://schemas.openxmlformats.org/officeDocument/2006/relationships/diagramQuickStyle" Target="diagrams/quickStyl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chart" Target="charts/chart1.xml"/><Relationship Id="rId22" Type="http://schemas.openxmlformats.org/officeDocument/2006/relationships/image" Target="media/image13.png"/><Relationship Id="rId27" Type="http://schemas.openxmlformats.org/officeDocument/2006/relationships/image" Target="media/image17.emf"/><Relationship Id="rId30" Type="http://schemas.openxmlformats.org/officeDocument/2006/relationships/diagramLayout" Target="diagrams/layout1.xml"/><Relationship Id="rId35" Type="http://schemas.openxmlformats.org/officeDocument/2006/relationships/header" Target="header2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D:\&#1057;&#1040;&#1064;&#1040;\&#1040;&#1089;&#1087;&#1080;&#1088;&#1072;&#1085;&#1090;&#1091;&#1088;&#1072;\&#1044;&#1048;&#1057;&#1057;&#1045;&#1056;&#1058;&#1040;&#1062;&#1048;&#1071;\&#1069;&#1082;&#1089;&#1087;&#1077;&#1088;&#1080;&#1084;&#1077;&#1085;&#1090;&#1072;&#1083;&#1100;&#1085;&#1099;&#1077;%20&#1088;&#1077;&#1079;&#1091;&#1083;&#1100;&#1090;&#1072;&#1090;&#1099;\&#1056;&#1072;&#1079;&#1084;&#1077;&#1088;%20&#1084;&#1080;&#1082;&#1088;&#1086;&#1090;&#1088;&#1077;&#1097;&#1080;&#1085;-&#1080;&#1089;&#1087;&#1088;2.xls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D:\&#1057;&#1040;&#1064;&#1040;\&#1040;&#1089;&#1087;&#1080;&#1088;&#1072;&#1085;&#1090;&#1091;&#1088;&#1072;\&#1044;&#1048;&#1057;&#1057;&#1045;&#1056;&#1058;&#1040;&#1062;&#1048;&#1071;\&#1069;&#1082;&#1089;&#1087;&#1077;&#1088;&#1080;&#1084;&#1077;&#1085;&#1090;&#1072;&#1083;&#1100;&#1085;&#1099;&#1077;%20&#1088;&#1077;&#1079;&#1091;&#1083;&#1100;&#1090;&#1072;&#1090;&#1099;\&#1056;&#1072;&#1079;&#1084;&#1077;&#1088;%20&#1084;&#1080;&#1082;&#1088;&#1086;&#1090;&#1088;&#1077;&#1097;&#1080;&#1085;-&#1080;&#1089;&#1087;&#1088;2.xls" TargetMode="Externa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package" Target="../embeddings/_____Microsoft_Office_Excel2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4.xml"/><Relationship Id="rId1" Type="http://schemas.openxmlformats.org/officeDocument/2006/relationships/oleObject" Target="file:///G:\&#1044;&#1048;&#1057;&#1057;&#1045;&#1056;&#1058;&#1040;&#1062;&#1048;&#1071;\&#1069;&#1082;&#1089;&#1087;&#1077;&#1088;&#1080;&#1084;&#1077;&#1085;&#1090;&#1072;&#1083;&#1100;&#1085;&#1099;&#1077;%20&#1088;&#1077;&#1079;&#1091;&#1083;&#1100;&#1090;&#1072;&#1090;&#1099;\&#1040;&#1069;%20N%20&#1086;&#1090;%20&#1089;&#1080;&#1075;&#1084;&#1072;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>
        <c:manualLayout>
          <c:layoutTarget val="inner"/>
          <c:xMode val="edge"/>
          <c:yMode val="edge"/>
          <c:x val="0.12342560732933262"/>
          <c:y val="3.0820147956686052E-2"/>
          <c:w val="0.73739792095564627"/>
          <c:h val="0.73536170338258766"/>
        </c:manualLayout>
      </c:layout>
      <c:barChart>
        <c:barDir val="col"/>
        <c:grouping val="clustered"/>
        <c:ser>
          <c:idx val="0"/>
          <c:order val="0"/>
          <c:tx>
            <c:v>L, мкм</c:v>
          </c:tx>
          <c:cat>
            <c:numRef>
              <c:f>Лист1!$L$1:$L$9</c:f>
              <c:numCache>
                <c:formatCode>General</c:formatCode>
                <c:ptCount val="9"/>
                <c:pt idx="0">
                  <c:v>0</c:v>
                </c:pt>
                <c:pt idx="1">
                  <c:v>2</c:v>
                </c:pt>
                <c:pt idx="2">
                  <c:v>4</c:v>
                </c:pt>
                <c:pt idx="3">
                  <c:v>6</c:v>
                </c:pt>
                <c:pt idx="4">
                  <c:v>8</c:v>
                </c:pt>
                <c:pt idx="5">
                  <c:v>10</c:v>
                </c:pt>
                <c:pt idx="6">
                  <c:v>12</c:v>
                </c:pt>
                <c:pt idx="7">
                  <c:v>15</c:v>
                </c:pt>
                <c:pt idx="8">
                  <c:v>17</c:v>
                </c:pt>
              </c:numCache>
            </c:numRef>
          </c:cat>
          <c:val>
            <c:numRef>
              <c:f>Лист1!$M$1:$M$9</c:f>
              <c:numCache>
                <c:formatCode>General</c:formatCode>
                <c:ptCount val="9"/>
                <c:pt idx="0">
                  <c:v>1.8979104477608</c:v>
                </c:pt>
                <c:pt idx="1">
                  <c:v>3.0337809507456392</c:v>
                </c:pt>
                <c:pt idx="2">
                  <c:v>4.9173134328348134</c:v>
                </c:pt>
                <c:pt idx="3">
                  <c:v>5.6362203432824121</c:v>
                </c:pt>
                <c:pt idx="4">
                  <c:v>6.6570632388045876</c:v>
                </c:pt>
                <c:pt idx="5">
                  <c:v>8.3393020447743886</c:v>
                </c:pt>
                <c:pt idx="6">
                  <c:v>8.3392891044758759</c:v>
                </c:pt>
                <c:pt idx="7">
                  <c:v>8.2242800447743889</c:v>
                </c:pt>
                <c:pt idx="8">
                  <c:v>10.567910447758999</c:v>
                </c:pt>
              </c:numCache>
            </c:numRef>
          </c:val>
        </c:ser>
        <c:axId val="25664512"/>
        <c:axId val="25728128"/>
      </c:barChart>
      <c:lineChart>
        <c:grouping val="standard"/>
        <c:ser>
          <c:idx val="1"/>
          <c:order val="1"/>
          <c:tx>
            <c:v>D, мкм</c:v>
          </c:tx>
          <c:spPr>
            <a:ln w="19050"/>
          </c:spPr>
          <c:errBars>
            <c:errDir val="y"/>
            <c:errBarType val="both"/>
            <c:errValType val="cust"/>
            <c:plus>
              <c:numLit>
                <c:formatCode>General</c:formatCode>
                <c:ptCount val="1"/>
                <c:pt idx="0">
                  <c:v>1</c:v>
                </c:pt>
              </c:numLit>
            </c:plus>
            <c:minus>
              <c:numLit>
                <c:formatCode>General</c:formatCode>
                <c:ptCount val="1"/>
                <c:pt idx="0">
                  <c:v>1</c:v>
                </c:pt>
              </c:numLit>
            </c:minus>
          </c:errBars>
          <c:cat>
            <c:numRef>
              <c:f>Лист1!$L$1:$L$9</c:f>
              <c:numCache>
                <c:formatCode>General</c:formatCode>
                <c:ptCount val="9"/>
                <c:pt idx="0">
                  <c:v>0</c:v>
                </c:pt>
                <c:pt idx="1">
                  <c:v>2</c:v>
                </c:pt>
                <c:pt idx="2">
                  <c:v>4</c:v>
                </c:pt>
                <c:pt idx="3">
                  <c:v>6</c:v>
                </c:pt>
                <c:pt idx="4">
                  <c:v>8</c:v>
                </c:pt>
                <c:pt idx="5">
                  <c:v>10</c:v>
                </c:pt>
                <c:pt idx="6">
                  <c:v>12</c:v>
                </c:pt>
                <c:pt idx="7">
                  <c:v>15</c:v>
                </c:pt>
                <c:pt idx="8">
                  <c:v>17</c:v>
                </c:pt>
              </c:numCache>
            </c:numRef>
          </c:cat>
          <c:val>
            <c:numRef>
              <c:f>Лист1!$O$1:$O$9</c:f>
              <c:numCache>
                <c:formatCode>General</c:formatCode>
                <c:ptCount val="9"/>
                <c:pt idx="0">
                  <c:v>18.33567</c:v>
                </c:pt>
                <c:pt idx="1">
                  <c:v>17.864999999999988</c:v>
                </c:pt>
                <c:pt idx="2">
                  <c:v>17.495329999999718</c:v>
                </c:pt>
                <c:pt idx="3">
                  <c:v>16.670529999999989</c:v>
                </c:pt>
                <c:pt idx="4">
                  <c:v>16.77</c:v>
                </c:pt>
                <c:pt idx="5">
                  <c:v>15.52173</c:v>
                </c:pt>
                <c:pt idx="6">
                  <c:v>15.93887</c:v>
                </c:pt>
                <c:pt idx="7">
                  <c:v>15.09793</c:v>
                </c:pt>
                <c:pt idx="8">
                  <c:v>16.95472999999981</c:v>
                </c:pt>
              </c:numCache>
            </c:numRef>
          </c:val>
        </c:ser>
        <c:marker val="1"/>
        <c:axId val="25748608"/>
        <c:axId val="25750144"/>
      </c:lineChart>
      <c:catAx>
        <c:axId val="25664512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>
                    <a:latin typeface="Times New Roman"/>
                    <a:cs typeface="Times New Roman"/>
                  </a:defRPr>
                </a:pPr>
                <a:r>
                  <a:rPr lang="el-GR" sz="1400">
                    <a:latin typeface="Times New Roman"/>
                    <a:cs typeface="Times New Roman"/>
                  </a:rPr>
                  <a:t>ε</a:t>
                </a:r>
                <a:r>
                  <a:rPr lang="ru-RU" sz="1400">
                    <a:latin typeface="Times New Roman"/>
                    <a:cs typeface="Times New Roman"/>
                  </a:rPr>
                  <a:t>, %</a:t>
                </a:r>
              </a:p>
            </c:rich>
          </c:tx>
        </c:title>
        <c:numFmt formatCode="General" sourceLinked="1"/>
        <c:maj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5728128"/>
        <c:crosses val="autoZero"/>
        <c:auto val="1"/>
        <c:lblAlgn val="ctr"/>
        <c:lblOffset val="100"/>
      </c:catAx>
      <c:valAx>
        <c:axId val="25728128"/>
        <c:scaling>
          <c:orientation val="minMax"/>
          <c:max val="14"/>
        </c:scaling>
        <c:axPos val="l"/>
        <c:title>
          <c:tx>
            <c:rich>
              <a:bodyPr/>
              <a:lstStyle/>
              <a:p>
                <a:pPr>
                  <a:defRPr/>
                </a:pPr>
                <a:r>
                  <a:rPr lang="en-US" sz="1400">
                    <a:latin typeface="Times New Roman" pitchFamily="18" charset="0"/>
                    <a:cs typeface="Times New Roman" pitchFamily="18" charset="0"/>
                  </a:rPr>
                  <a:t>L</a:t>
                </a:r>
                <a:r>
                  <a:rPr lang="ru-RU" sz="1400" baseline="-25000">
                    <a:latin typeface="Times New Roman" pitchFamily="18" charset="0"/>
                    <a:cs typeface="Times New Roman" pitchFamily="18" charset="0"/>
                  </a:rPr>
                  <a:t>тр</a:t>
                </a:r>
                <a:r>
                  <a:rPr lang="ru-RU" sz="1400">
                    <a:latin typeface="Times New Roman" pitchFamily="18" charset="0"/>
                    <a:cs typeface="Times New Roman" pitchFamily="18" charset="0"/>
                  </a:rPr>
                  <a:t>,</a:t>
                </a:r>
                <a:r>
                  <a:rPr lang="ru-RU" sz="1400" baseline="0">
                    <a:latin typeface="Times New Roman" pitchFamily="18" charset="0"/>
                    <a:cs typeface="Times New Roman" pitchFamily="18" charset="0"/>
                  </a:rPr>
                  <a:t> мкм</a:t>
                </a:r>
                <a:endParaRPr lang="ru-RU" sz="1400">
                  <a:latin typeface="Times New Roman" pitchFamily="18" charset="0"/>
                  <a:cs typeface="Times New Roman" pitchFamily="18" charset="0"/>
                </a:endParaRPr>
              </a:p>
            </c:rich>
          </c:tx>
        </c:title>
        <c:numFmt formatCode="General" sourceLinked="1"/>
        <c:maj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5664512"/>
        <c:crosses val="autoZero"/>
        <c:crossBetween val="between"/>
      </c:valAx>
      <c:catAx>
        <c:axId val="25748608"/>
        <c:scaling>
          <c:orientation val="minMax"/>
        </c:scaling>
        <c:delete val="1"/>
        <c:axPos val="b"/>
        <c:numFmt formatCode="General" sourceLinked="1"/>
        <c:tickLblPos val="none"/>
        <c:crossAx val="25750144"/>
        <c:crosses val="autoZero"/>
        <c:auto val="1"/>
        <c:lblAlgn val="ctr"/>
        <c:lblOffset val="100"/>
      </c:catAx>
      <c:valAx>
        <c:axId val="25750144"/>
        <c:scaling>
          <c:orientation val="minMax"/>
          <c:max val="20"/>
        </c:scaling>
        <c:axPos val="r"/>
        <c:title>
          <c:tx>
            <c:rich>
              <a:bodyPr rot="-5400000" vert="horz"/>
              <a:lstStyle/>
              <a:p>
                <a:pPr>
                  <a:defRPr sz="120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D</a:t>
                </a:r>
                <a:r>
                  <a:rPr lang="ru-RU" sz="1200">
                    <a:latin typeface="Times New Roman" pitchFamily="18" charset="0"/>
                    <a:cs typeface="Times New Roman" pitchFamily="18" charset="0"/>
                  </a:rPr>
                  <a:t>,</a:t>
                </a:r>
                <a:r>
                  <a:rPr lang="ru-RU" sz="1200" baseline="0">
                    <a:latin typeface="Times New Roman" pitchFamily="18" charset="0"/>
                    <a:cs typeface="Times New Roman" pitchFamily="18" charset="0"/>
                  </a:rPr>
                  <a:t> мкм</a:t>
                </a:r>
                <a:endParaRPr lang="ru-RU" sz="1200">
                  <a:latin typeface="Times New Roman" pitchFamily="18" charset="0"/>
                  <a:cs typeface="Times New Roman" pitchFamily="18" charset="0"/>
                </a:endParaRPr>
              </a:p>
            </c:rich>
          </c:tx>
        </c:title>
        <c:numFmt formatCode="General" sourceLinked="1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5748608"/>
        <c:crosses val="max"/>
        <c:crossBetween val="between"/>
        <c:majorUnit val="4"/>
      </c:valAx>
      <c:spPr>
        <a:noFill/>
        <a:ln w="25400">
          <a:solidFill>
            <a:schemeClr val="tx1"/>
          </a:solidFill>
        </a:ln>
      </c:spPr>
    </c:plotArea>
    <c:legend>
      <c:legendPos val="r"/>
      <c:layout>
        <c:manualLayout>
          <c:xMode val="edge"/>
          <c:yMode val="edge"/>
          <c:x val="0.63163011880990194"/>
          <c:y val="0.86331787987769359"/>
          <c:w val="0.3527754522568578"/>
          <c:h val="0.11746303541986511"/>
        </c:manualLayout>
      </c:layout>
      <c:txPr>
        <a:bodyPr/>
        <a:lstStyle/>
        <a:p>
          <a:pPr>
            <a:defRPr b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</c:chart>
  <c:spPr>
    <a:solidFill>
      <a:schemeClr val="bg1"/>
    </a:solidFill>
    <a:ln>
      <a:noFill/>
    </a:ln>
  </c:spPr>
  <c:externalData r:id="rId1"/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0.16048884514435696"/>
          <c:y val="4.0780141843971836E-2"/>
          <c:w val="0.72343146027201144"/>
          <c:h val="0.7782284137559754"/>
        </c:manualLayout>
      </c:layout>
      <c:barChart>
        <c:barDir val="col"/>
        <c:grouping val="clustered"/>
        <c:ser>
          <c:idx val="0"/>
          <c:order val="0"/>
          <c:tx>
            <c:v>1-2 мкм</c:v>
          </c:tx>
          <c:spPr>
            <a:solidFill>
              <a:srgbClr val="FFC000"/>
            </a:solidFill>
            <a:ln>
              <a:solidFill>
                <a:srgbClr val="FFC000"/>
              </a:solidFill>
            </a:ln>
          </c:spPr>
          <c:cat>
            <c:numRef>
              <c:f>Лист2!$L$12:$L$20</c:f>
              <c:numCache>
                <c:formatCode>General</c:formatCode>
                <c:ptCount val="9"/>
                <c:pt idx="0">
                  <c:v>0</c:v>
                </c:pt>
                <c:pt idx="1">
                  <c:v>2</c:v>
                </c:pt>
                <c:pt idx="2">
                  <c:v>4</c:v>
                </c:pt>
                <c:pt idx="3">
                  <c:v>6</c:v>
                </c:pt>
                <c:pt idx="4">
                  <c:v>8</c:v>
                </c:pt>
                <c:pt idx="5">
                  <c:v>10</c:v>
                </c:pt>
                <c:pt idx="6">
                  <c:v>12</c:v>
                </c:pt>
                <c:pt idx="7">
                  <c:v>15</c:v>
                </c:pt>
                <c:pt idx="8">
                  <c:v>17</c:v>
                </c:pt>
              </c:numCache>
            </c:numRef>
          </c:cat>
          <c:val>
            <c:numRef>
              <c:f>Лист2!$N$23:$N$31</c:f>
              <c:numCache>
                <c:formatCode>General</c:formatCode>
                <c:ptCount val="9"/>
                <c:pt idx="0">
                  <c:v>0.66666666666666663</c:v>
                </c:pt>
                <c:pt idx="1">
                  <c:v>0.43333333333333335</c:v>
                </c:pt>
                <c:pt idx="2">
                  <c:v>3.333333333333334E-2</c:v>
                </c:pt>
                <c:pt idx="3">
                  <c:v>6.666666666666668E-2</c:v>
                </c:pt>
              </c:numCache>
            </c:numRef>
          </c:val>
        </c:ser>
        <c:ser>
          <c:idx val="1"/>
          <c:order val="1"/>
          <c:tx>
            <c:v>2-5 мкм</c:v>
          </c:tx>
          <c:spPr>
            <a:solidFill>
              <a:srgbClr val="C00000"/>
            </a:solidFill>
            <a:ln>
              <a:solidFill>
                <a:srgbClr val="C00000"/>
              </a:solidFill>
            </a:ln>
          </c:spPr>
          <c:cat>
            <c:numRef>
              <c:f>Лист2!$L$12:$L$20</c:f>
              <c:numCache>
                <c:formatCode>General</c:formatCode>
                <c:ptCount val="9"/>
                <c:pt idx="0">
                  <c:v>0</c:v>
                </c:pt>
                <c:pt idx="1">
                  <c:v>2</c:v>
                </c:pt>
                <c:pt idx="2">
                  <c:v>4</c:v>
                </c:pt>
                <c:pt idx="3">
                  <c:v>6</c:v>
                </c:pt>
                <c:pt idx="4">
                  <c:v>8</c:v>
                </c:pt>
                <c:pt idx="5">
                  <c:v>10</c:v>
                </c:pt>
                <c:pt idx="6">
                  <c:v>12</c:v>
                </c:pt>
                <c:pt idx="7">
                  <c:v>15</c:v>
                </c:pt>
                <c:pt idx="8">
                  <c:v>17</c:v>
                </c:pt>
              </c:numCache>
            </c:numRef>
          </c:cat>
          <c:val>
            <c:numRef>
              <c:f>Лист2!$P$23:$P$31</c:f>
              <c:numCache>
                <c:formatCode>General</c:formatCode>
                <c:ptCount val="9"/>
                <c:pt idx="0">
                  <c:v>0.33333333333333331</c:v>
                </c:pt>
                <c:pt idx="1">
                  <c:v>0.43333333333333335</c:v>
                </c:pt>
                <c:pt idx="2">
                  <c:v>0.63333333333333364</c:v>
                </c:pt>
                <c:pt idx="3">
                  <c:v>0.43333333333333335</c:v>
                </c:pt>
                <c:pt idx="4">
                  <c:v>0.36666666666667408</c:v>
                </c:pt>
                <c:pt idx="5">
                  <c:v>0.1</c:v>
                </c:pt>
                <c:pt idx="6">
                  <c:v>0.16666666666666666</c:v>
                </c:pt>
                <c:pt idx="7">
                  <c:v>0.23333333333333606</c:v>
                </c:pt>
                <c:pt idx="8">
                  <c:v>6.666666666666668E-2</c:v>
                </c:pt>
              </c:numCache>
            </c:numRef>
          </c:val>
        </c:ser>
        <c:ser>
          <c:idx val="2"/>
          <c:order val="2"/>
          <c:tx>
            <c:v>5-7 мкм</c:v>
          </c:tx>
          <c:spPr>
            <a:solidFill>
              <a:srgbClr val="00B050"/>
            </a:solidFill>
            <a:ln>
              <a:solidFill>
                <a:srgbClr val="00B050"/>
              </a:solidFill>
            </a:ln>
          </c:spPr>
          <c:cat>
            <c:numRef>
              <c:f>Лист2!$L$12:$L$20</c:f>
              <c:numCache>
                <c:formatCode>General</c:formatCode>
                <c:ptCount val="9"/>
                <c:pt idx="0">
                  <c:v>0</c:v>
                </c:pt>
                <c:pt idx="1">
                  <c:v>2</c:v>
                </c:pt>
                <c:pt idx="2">
                  <c:v>4</c:v>
                </c:pt>
                <c:pt idx="3">
                  <c:v>6</c:v>
                </c:pt>
                <c:pt idx="4">
                  <c:v>8</c:v>
                </c:pt>
                <c:pt idx="5">
                  <c:v>10</c:v>
                </c:pt>
                <c:pt idx="6">
                  <c:v>12</c:v>
                </c:pt>
                <c:pt idx="7">
                  <c:v>15</c:v>
                </c:pt>
                <c:pt idx="8">
                  <c:v>17</c:v>
                </c:pt>
              </c:numCache>
            </c:numRef>
          </c:cat>
          <c:val>
            <c:numRef>
              <c:f>Лист2!$R$23:$R$31</c:f>
              <c:numCache>
                <c:formatCode>General</c:formatCode>
                <c:ptCount val="9"/>
                <c:pt idx="1">
                  <c:v>0.13333333333333341</c:v>
                </c:pt>
                <c:pt idx="2">
                  <c:v>0.26666666666666738</c:v>
                </c:pt>
                <c:pt idx="3">
                  <c:v>0.4</c:v>
                </c:pt>
                <c:pt idx="4">
                  <c:v>0.4666666666666725</c:v>
                </c:pt>
                <c:pt idx="5">
                  <c:v>0.5</c:v>
                </c:pt>
                <c:pt idx="6">
                  <c:v>0.53333333333333333</c:v>
                </c:pt>
                <c:pt idx="7">
                  <c:v>0.36666666666667408</c:v>
                </c:pt>
                <c:pt idx="8">
                  <c:v>0.23333333333333606</c:v>
                </c:pt>
              </c:numCache>
            </c:numRef>
          </c:val>
        </c:ser>
        <c:ser>
          <c:idx val="3"/>
          <c:order val="3"/>
          <c:tx>
            <c:v>7-11 мкм</c:v>
          </c:tx>
          <c:spPr>
            <a:solidFill>
              <a:srgbClr val="002060"/>
            </a:solidFill>
            <a:ln>
              <a:solidFill>
                <a:srgbClr val="002060"/>
              </a:solidFill>
            </a:ln>
          </c:spPr>
          <c:cat>
            <c:numRef>
              <c:f>Лист2!$L$12:$L$20</c:f>
              <c:numCache>
                <c:formatCode>General</c:formatCode>
                <c:ptCount val="9"/>
                <c:pt idx="0">
                  <c:v>0</c:v>
                </c:pt>
                <c:pt idx="1">
                  <c:v>2</c:v>
                </c:pt>
                <c:pt idx="2">
                  <c:v>4</c:v>
                </c:pt>
                <c:pt idx="3">
                  <c:v>6</c:v>
                </c:pt>
                <c:pt idx="4">
                  <c:v>8</c:v>
                </c:pt>
                <c:pt idx="5">
                  <c:v>10</c:v>
                </c:pt>
                <c:pt idx="6">
                  <c:v>12</c:v>
                </c:pt>
                <c:pt idx="7">
                  <c:v>15</c:v>
                </c:pt>
                <c:pt idx="8">
                  <c:v>17</c:v>
                </c:pt>
              </c:numCache>
            </c:numRef>
          </c:cat>
          <c:val>
            <c:numRef>
              <c:f>Лист2!$T$23:$T$31</c:f>
              <c:numCache>
                <c:formatCode>General</c:formatCode>
                <c:ptCount val="9"/>
                <c:pt idx="2">
                  <c:v>6.666666666666668E-2</c:v>
                </c:pt>
                <c:pt idx="3">
                  <c:v>0.1</c:v>
                </c:pt>
                <c:pt idx="4">
                  <c:v>0.16666666666666666</c:v>
                </c:pt>
                <c:pt idx="5">
                  <c:v>0.4</c:v>
                </c:pt>
                <c:pt idx="6">
                  <c:v>0.2</c:v>
                </c:pt>
                <c:pt idx="7">
                  <c:v>0.33333333333333331</c:v>
                </c:pt>
                <c:pt idx="8">
                  <c:v>0.43333333333333335</c:v>
                </c:pt>
              </c:numCache>
            </c:numRef>
          </c:val>
        </c:ser>
        <c:ser>
          <c:idx val="4"/>
          <c:order val="4"/>
          <c:tx>
            <c:v>11-15 мкм</c:v>
          </c:tx>
          <c:spPr>
            <a:solidFill>
              <a:srgbClr val="00B0F0"/>
            </a:solidFill>
            <a:ln>
              <a:solidFill>
                <a:srgbClr val="00B0F0"/>
              </a:solidFill>
            </a:ln>
          </c:spPr>
          <c:cat>
            <c:numRef>
              <c:f>Лист2!$L$12:$L$20</c:f>
              <c:numCache>
                <c:formatCode>General</c:formatCode>
                <c:ptCount val="9"/>
                <c:pt idx="0">
                  <c:v>0</c:v>
                </c:pt>
                <c:pt idx="1">
                  <c:v>2</c:v>
                </c:pt>
                <c:pt idx="2">
                  <c:v>4</c:v>
                </c:pt>
                <c:pt idx="3">
                  <c:v>6</c:v>
                </c:pt>
                <c:pt idx="4">
                  <c:v>8</c:v>
                </c:pt>
                <c:pt idx="5">
                  <c:v>10</c:v>
                </c:pt>
                <c:pt idx="6">
                  <c:v>12</c:v>
                </c:pt>
                <c:pt idx="7">
                  <c:v>15</c:v>
                </c:pt>
                <c:pt idx="8">
                  <c:v>17</c:v>
                </c:pt>
              </c:numCache>
            </c:numRef>
          </c:cat>
          <c:val>
            <c:numRef>
              <c:f>Лист2!$V$23:$V$31</c:f>
              <c:numCache>
                <c:formatCode>General</c:formatCode>
                <c:ptCount val="9"/>
                <c:pt idx="6">
                  <c:v>0.1</c:v>
                </c:pt>
                <c:pt idx="7">
                  <c:v>6.666666666666668E-2</c:v>
                </c:pt>
                <c:pt idx="8">
                  <c:v>0.26666666666666738</c:v>
                </c:pt>
              </c:numCache>
            </c:numRef>
          </c:val>
        </c:ser>
        <c:axId val="74378240"/>
        <c:axId val="92727936"/>
      </c:barChart>
      <c:catAx>
        <c:axId val="74378240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400"/>
                </a:pPr>
                <a:r>
                  <a:rPr lang="el-GR" sz="1200" baseline="0">
                    <a:latin typeface="Times New Roman" pitchFamily="18" charset="0"/>
                    <a:cs typeface="Times New Roman" pitchFamily="18" charset="0"/>
                  </a:rPr>
                  <a:t>ε</a:t>
                </a:r>
                <a:r>
                  <a:rPr lang="ru-RU" sz="1200" baseline="0">
                    <a:latin typeface="Times New Roman" pitchFamily="18" charset="0"/>
                    <a:cs typeface="Times New Roman" pitchFamily="18" charset="0"/>
                  </a:rPr>
                  <a:t>, %</a:t>
                </a:r>
              </a:p>
            </c:rich>
          </c:tx>
          <c:layout>
            <c:manualLayout>
              <c:xMode val="edge"/>
              <c:yMode val="edge"/>
              <c:x val="0.86807719623282464"/>
              <c:y val="0.86940170940170935"/>
            </c:manualLayout>
          </c:layout>
        </c:title>
        <c:numFmt formatCode="General" sourceLinked="1"/>
        <c:majorTickMark val="in"/>
        <c:tickLblPos val="nextTo"/>
        <c:txPr>
          <a:bodyPr/>
          <a:lstStyle/>
          <a:p>
            <a:pPr>
              <a:defRPr sz="1000"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2727936"/>
        <c:crosses val="autoZero"/>
        <c:auto val="1"/>
        <c:lblAlgn val="ctr"/>
        <c:lblOffset val="100"/>
      </c:catAx>
      <c:valAx>
        <c:axId val="92727936"/>
        <c:scaling>
          <c:orientation val="minMax"/>
          <c:max val="0.8"/>
          <c:min val="0"/>
        </c:scaling>
        <c:axPos val="l"/>
        <c:title>
          <c:tx>
            <c:rich>
              <a:bodyPr rot="-5400000" vert="horz"/>
              <a:lstStyle/>
              <a:p>
                <a:pPr>
                  <a:defRPr sz="1200" baseline="0"/>
                </a:pPr>
                <a:r>
                  <a:rPr lang="ru-RU" sz="1200" baseline="0">
                    <a:latin typeface="Times New Roman" pitchFamily="18" charset="0"/>
                    <a:cs typeface="Times New Roman" pitchFamily="18" charset="0"/>
                  </a:rPr>
                  <a:t>Р, отн.ед.</a:t>
                </a:r>
                <a:endParaRPr lang="ru-RU" sz="1200" baseline="0"/>
              </a:p>
            </c:rich>
          </c:tx>
          <c:layout>
            <c:manualLayout>
              <c:xMode val="edge"/>
              <c:yMode val="edge"/>
              <c:x val="2.2727272727272853E-2"/>
              <c:y val="0.24625291069385558"/>
            </c:manualLayout>
          </c:layout>
        </c:title>
        <c:numFmt formatCode="General" sourceLinked="1"/>
        <c:majorTickMark val="in"/>
        <c:tickLblPos val="nextTo"/>
        <c:txPr>
          <a:bodyPr/>
          <a:lstStyle/>
          <a:p>
            <a:pPr>
              <a:defRPr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74378240"/>
        <c:crosses val="autoZero"/>
        <c:crossBetween val="between"/>
        <c:majorUnit val="0.2"/>
      </c:valAx>
      <c:spPr>
        <a:solidFill>
          <a:schemeClr val="bg1"/>
        </a:solidFill>
        <a:ln>
          <a:solidFill>
            <a:schemeClr val="bg1">
              <a:lumMod val="50000"/>
            </a:schemeClr>
          </a:solidFill>
        </a:ln>
      </c:spPr>
    </c:plotArea>
    <c:legend>
      <c:legendPos val="r"/>
      <c:layout>
        <c:manualLayout>
          <c:xMode val="edge"/>
          <c:yMode val="edge"/>
          <c:x val="0.84582080649010161"/>
          <c:y val="2.9848576620230192E-2"/>
          <c:w val="0.14928831426935829"/>
          <c:h val="0.757478862790123"/>
        </c:manualLayout>
      </c:layout>
      <c:txPr>
        <a:bodyPr/>
        <a:lstStyle/>
        <a:p>
          <a:pPr>
            <a:defRPr sz="1000" b="1" baseline="0">
              <a:latin typeface="Times New Roman" pitchFamily="18" charset="0"/>
            </a:defRPr>
          </a:pPr>
          <a:endParaRPr lang="ru-RU"/>
        </a:p>
      </c:txPr>
    </c:legend>
    <c:plotVisOnly val="1"/>
    <c:dispBlanksAs val="gap"/>
  </c:chart>
  <c:spPr>
    <a:solidFill>
      <a:prstClr val="white"/>
    </a:solidFill>
    <a:ln>
      <a:solidFill>
        <a:schemeClr val="bg1"/>
      </a:solidFill>
    </a:ln>
  </c:spPr>
  <c:externalData r:id="rId1"/>
  <c:userShapes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0.1696527502407518"/>
          <c:y val="5.6680161943319839E-2"/>
          <c:w val="0.79547045827904661"/>
          <c:h val="0.75279012775336784"/>
        </c:manualLayout>
      </c:layout>
      <c:barChart>
        <c:barDir val="col"/>
        <c:grouping val="clustered"/>
        <c:ser>
          <c:idx val="0"/>
          <c:order val="0"/>
          <c:spPr>
            <a:solidFill>
              <a:srgbClr val="4BACC6"/>
            </a:solidFill>
            <a:ln w="9395">
              <a:solidFill>
                <a:srgbClr val="000000"/>
              </a:solidFill>
              <a:prstDash val="solid"/>
            </a:ln>
          </c:spPr>
          <c:cat>
            <c:numRef>
              <c:f>Лист1!$D$1:$D$8</c:f>
              <c:numCache>
                <c:formatCode>General</c:formatCode>
                <c:ptCount val="8"/>
                <c:pt idx="0">
                  <c:v>0</c:v>
                </c:pt>
                <c:pt idx="1">
                  <c:v>4</c:v>
                </c:pt>
                <c:pt idx="2">
                  <c:v>6</c:v>
                </c:pt>
                <c:pt idx="3">
                  <c:v>8</c:v>
                </c:pt>
                <c:pt idx="4">
                  <c:v>10</c:v>
                </c:pt>
                <c:pt idx="5">
                  <c:v>12</c:v>
                </c:pt>
                <c:pt idx="6">
                  <c:v>15</c:v>
                </c:pt>
                <c:pt idx="7">
                  <c:v>17</c:v>
                </c:pt>
              </c:numCache>
            </c:numRef>
          </c:cat>
          <c:val>
            <c:numRef>
              <c:f>Лист1!$E$1:$E$8</c:f>
              <c:numCache>
                <c:formatCode>General</c:formatCode>
                <c:ptCount val="8"/>
                <c:pt idx="0">
                  <c:v>1.5286028602860355</c:v>
                </c:pt>
                <c:pt idx="1">
                  <c:v>2.0305728702879202</c:v>
                </c:pt>
                <c:pt idx="2">
                  <c:v>2.4685400122174812</c:v>
                </c:pt>
                <c:pt idx="3">
                  <c:v>2.1150558842866527</c:v>
                </c:pt>
                <c:pt idx="4">
                  <c:v>2.4582511505588367</c:v>
                </c:pt>
                <c:pt idx="5">
                  <c:v>1.1484057971014494</c:v>
                </c:pt>
                <c:pt idx="6">
                  <c:v>1.8526107072042299</c:v>
                </c:pt>
                <c:pt idx="7">
                  <c:v>1.8313447275072556</c:v>
                </c:pt>
              </c:numCache>
            </c:numRef>
          </c:val>
        </c:ser>
        <c:axId val="24809472"/>
        <c:axId val="24811392"/>
      </c:barChart>
      <c:catAx>
        <c:axId val="24809472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036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el-GR"/>
                  <a:t>ε, %</a:t>
                </a:r>
              </a:p>
            </c:rich>
          </c:tx>
          <c:spPr>
            <a:noFill/>
            <a:ln w="18791">
              <a:noFill/>
            </a:ln>
          </c:spPr>
        </c:title>
        <c:numFmt formatCode="General" sourceLinked="1"/>
        <c:majorTickMark val="in"/>
        <c:tickLblPos val="nextTo"/>
        <c:spPr>
          <a:ln w="2349">
            <a:solidFill>
              <a:srgbClr val="808080"/>
            </a:solidFill>
            <a:prstDash val="solid"/>
          </a:ln>
        </c:spPr>
        <c:txPr>
          <a:bodyPr rot="0" vert="horz"/>
          <a:lstStyle/>
          <a:p>
            <a:pPr>
              <a:defRPr sz="740" b="1" i="0" u="none" strike="noStrike" baseline="0">
                <a:solidFill>
                  <a:srgbClr val="000000"/>
                </a:solidFill>
                <a:latin typeface="Times New Roman" pitchFamily="18" charset="0"/>
                <a:ea typeface="Calibri"/>
                <a:cs typeface="Times New Roman" pitchFamily="18" charset="0"/>
              </a:defRPr>
            </a:pPr>
            <a:endParaRPr lang="ru-RU"/>
          </a:p>
        </c:txPr>
        <c:crossAx val="24811392"/>
        <c:crosses val="autoZero"/>
        <c:auto val="1"/>
        <c:lblAlgn val="ctr"/>
        <c:lblOffset val="100"/>
        <c:tickLblSkip val="1"/>
        <c:tickMarkSkip val="1"/>
      </c:catAx>
      <c:valAx>
        <c:axId val="24811392"/>
        <c:scaling>
          <c:orientation val="minMax"/>
          <c:max val="3"/>
          <c:min val="1"/>
        </c:scaling>
        <c:axPos val="l"/>
        <c:title>
          <c:tx>
            <c:rich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Calibri"/>
                    <a:cs typeface="Times New Roman" pitchFamily="18" charset="0"/>
                  </a:defRPr>
                </a:pPr>
                <a:r>
                  <a:rPr lang="el-GR" sz="1000" b="1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β</a:t>
                </a:r>
                <a:r>
                  <a:rPr lang="el-GR" sz="1000" b="1" i="0" strike="noStrike" baseline="-25000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220</a:t>
                </a:r>
                <a:r>
                  <a:rPr lang="el-GR" sz="1000" b="1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/β</a:t>
                </a:r>
                <a:r>
                  <a:rPr lang="el-GR" sz="1000" b="1" i="0" strike="noStrike" baseline="-25000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110</a:t>
                </a:r>
                <a:r>
                  <a:rPr lang="el-GR" sz="1000" b="1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, </a:t>
                </a:r>
                <a:r>
                  <a:rPr lang="ru-RU" sz="1000" b="1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отн.ед.</a:t>
                </a:r>
              </a:p>
            </c:rich>
          </c:tx>
          <c:spPr>
            <a:noFill/>
            <a:ln w="18791">
              <a:noFill/>
            </a:ln>
          </c:spPr>
        </c:title>
        <c:numFmt formatCode="General" sourceLinked="1"/>
        <c:majorTickMark val="in"/>
        <c:minorTickMark val="in"/>
        <c:tickLblPos val="nextTo"/>
        <c:txPr>
          <a:bodyPr/>
          <a:lstStyle/>
          <a:p>
            <a:pPr>
              <a:defRPr sz="800"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4809472"/>
        <c:crosses val="autoZero"/>
        <c:crossBetween val="between"/>
        <c:majorUnit val="0.4"/>
        <c:minorUnit val="0.2"/>
      </c:valAx>
      <c:spPr>
        <a:noFill/>
        <a:ln>
          <a:solidFill>
            <a:schemeClr val="tx1"/>
          </a:solidFill>
        </a:ln>
      </c:spPr>
    </c:plotArea>
    <c:plotVisOnly val="1"/>
    <c:dispBlanksAs val="gap"/>
  </c:chart>
  <c:spPr>
    <a:solidFill>
      <a:schemeClr val="bg1"/>
    </a:solidFill>
    <a:ln>
      <a:noFill/>
    </a:ln>
  </c:spPr>
  <c:txPr>
    <a:bodyPr/>
    <a:lstStyle/>
    <a:p>
      <a:pPr>
        <a:defRPr baseline="0"/>
      </a:pPr>
      <a:endParaRPr lang="ru-RU"/>
    </a:p>
  </c:txPr>
  <c:externalData r:id="rId1"/>
  <c:userShapes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0.1664732102161835"/>
          <c:y val="8.1656792900888286E-2"/>
          <c:w val="0.72379116987782555"/>
          <c:h val="0.72889845207100101"/>
        </c:manualLayout>
      </c:layout>
      <c:scatterChart>
        <c:scatterStyle val="smoothMarker"/>
        <c:ser>
          <c:idx val="0"/>
          <c:order val="0"/>
          <c:tx>
            <c:v>1 ч</c:v>
          </c:tx>
          <c:spPr>
            <a:ln w="11093">
              <a:solidFill>
                <a:srgbClr val="000080"/>
              </a:solidFill>
              <a:prstDash val="solid"/>
            </a:ln>
          </c:spPr>
          <c:marker>
            <c:symbol val="diamond"/>
            <c:size val="4"/>
            <c:spPr>
              <a:solidFill>
                <a:srgbClr val="000080"/>
              </a:solidFill>
              <a:ln>
                <a:solidFill>
                  <a:srgbClr val="000080"/>
                </a:solidFill>
                <a:prstDash val="solid"/>
              </a:ln>
            </c:spPr>
          </c:marker>
          <c:errBars>
            <c:errDir val="y"/>
            <c:errBarType val="both"/>
            <c:errValType val="stdErr"/>
            <c:spPr>
              <a:ln w="2219">
                <a:solidFill>
                  <a:srgbClr val="000000"/>
                </a:solidFill>
                <a:prstDash val="solid"/>
              </a:ln>
            </c:spPr>
          </c:errBars>
          <c:xVal>
            <c:numRef>
              <c:f>Лист1!$D$4:$D$12</c:f>
              <c:numCache>
                <c:formatCode>General</c:formatCode>
                <c:ptCount val="9"/>
                <c:pt idx="0">
                  <c:v>41</c:v>
                </c:pt>
                <c:pt idx="1">
                  <c:v>67.8</c:v>
                </c:pt>
                <c:pt idx="2">
                  <c:v>94.6</c:v>
                </c:pt>
                <c:pt idx="3">
                  <c:v>121.4</c:v>
                </c:pt>
                <c:pt idx="4">
                  <c:v>148.19999999999999</c:v>
                </c:pt>
                <c:pt idx="5">
                  <c:v>175</c:v>
                </c:pt>
                <c:pt idx="6">
                  <c:v>201.8</c:v>
                </c:pt>
                <c:pt idx="7">
                  <c:v>228.6</c:v>
                </c:pt>
                <c:pt idx="8">
                  <c:v>255.4</c:v>
                </c:pt>
              </c:numCache>
            </c:numRef>
          </c:xVal>
          <c:yVal>
            <c:numRef>
              <c:f>Лист1!$C$4:$C$12</c:f>
              <c:numCache>
                <c:formatCode>General</c:formatCode>
                <c:ptCount val="9"/>
                <c:pt idx="0">
                  <c:v>5500</c:v>
                </c:pt>
                <c:pt idx="1">
                  <c:v>17000</c:v>
                </c:pt>
                <c:pt idx="2">
                  <c:v>22500</c:v>
                </c:pt>
                <c:pt idx="3">
                  <c:v>27000</c:v>
                </c:pt>
                <c:pt idx="4">
                  <c:v>35000</c:v>
                </c:pt>
                <c:pt idx="5">
                  <c:v>37000</c:v>
                </c:pt>
                <c:pt idx="6">
                  <c:v>39000</c:v>
                </c:pt>
                <c:pt idx="7">
                  <c:v>43000</c:v>
                </c:pt>
                <c:pt idx="8">
                  <c:v>45000</c:v>
                </c:pt>
              </c:numCache>
            </c:numRef>
          </c:yVal>
          <c:smooth val="1"/>
        </c:ser>
        <c:ser>
          <c:idx val="1"/>
          <c:order val="1"/>
          <c:tx>
            <c:v>5 ч</c:v>
          </c:tx>
          <c:spPr>
            <a:ln w="11093">
              <a:solidFill>
                <a:srgbClr val="FF00FF"/>
              </a:solidFill>
              <a:prstDash val="solid"/>
            </a:ln>
          </c:spPr>
          <c:marker>
            <c:symbol val="square"/>
            <c:size val="4"/>
            <c:spPr>
              <a:solidFill>
                <a:srgbClr val="FF00FF"/>
              </a:solidFill>
              <a:ln>
                <a:solidFill>
                  <a:srgbClr val="FF00FF"/>
                </a:solidFill>
                <a:prstDash val="solid"/>
              </a:ln>
            </c:spPr>
          </c:marker>
          <c:errBars>
            <c:errDir val="y"/>
            <c:errBarType val="both"/>
            <c:errValType val="stdErr"/>
            <c:spPr>
              <a:ln w="2219">
                <a:solidFill>
                  <a:srgbClr val="000000"/>
                </a:solidFill>
                <a:prstDash val="solid"/>
              </a:ln>
            </c:spPr>
          </c:errBars>
          <c:xVal>
            <c:numRef>
              <c:f>Лист1!$I$4:$I$12</c:f>
              <c:numCache>
                <c:formatCode>General</c:formatCode>
                <c:ptCount val="9"/>
                <c:pt idx="0">
                  <c:v>41</c:v>
                </c:pt>
                <c:pt idx="1">
                  <c:v>67.8</c:v>
                </c:pt>
                <c:pt idx="2">
                  <c:v>94.6</c:v>
                </c:pt>
                <c:pt idx="3">
                  <c:v>121.4</c:v>
                </c:pt>
                <c:pt idx="4">
                  <c:v>148.19999999999999</c:v>
                </c:pt>
                <c:pt idx="5">
                  <c:v>175</c:v>
                </c:pt>
                <c:pt idx="6">
                  <c:v>201.8</c:v>
                </c:pt>
                <c:pt idx="7">
                  <c:v>228.6</c:v>
                </c:pt>
                <c:pt idx="8">
                  <c:v>255.4</c:v>
                </c:pt>
              </c:numCache>
            </c:numRef>
          </c:xVal>
          <c:yVal>
            <c:numRef>
              <c:f>Лист1!$H$4:$H$12</c:f>
              <c:numCache>
                <c:formatCode>General</c:formatCode>
                <c:ptCount val="9"/>
                <c:pt idx="0">
                  <c:v>7000</c:v>
                </c:pt>
                <c:pt idx="1">
                  <c:v>18000</c:v>
                </c:pt>
                <c:pt idx="2">
                  <c:v>35000</c:v>
                </c:pt>
                <c:pt idx="3">
                  <c:v>44000</c:v>
                </c:pt>
                <c:pt idx="4">
                  <c:v>45000</c:v>
                </c:pt>
                <c:pt idx="5">
                  <c:v>48000</c:v>
                </c:pt>
                <c:pt idx="6">
                  <c:v>49000</c:v>
                </c:pt>
                <c:pt idx="7">
                  <c:v>51000</c:v>
                </c:pt>
                <c:pt idx="8">
                  <c:v>54000</c:v>
                </c:pt>
              </c:numCache>
            </c:numRef>
          </c:yVal>
          <c:smooth val="1"/>
        </c:ser>
        <c:ser>
          <c:idx val="2"/>
          <c:order val="2"/>
          <c:tx>
            <c:v>10 ч</c:v>
          </c:tx>
          <c:spPr>
            <a:ln w="11093">
              <a:solidFill>
                <a:srgbClr val="333333"/>
              </a:solidFill>
              <a:prstDash val="solid"/>
            </a:ln>
          </c:spPr>
          <c:marker>
            <c:symbol val="triangle"/>
            <c:size val="4"/>
            <c:spPr>
              <a:solidFill>
                <a:srgbClr val="FFFF00"/>
              </a:solidFill>
              <a:ln>
                <a:solidFill>
                  <a:srgbClr val="333333"/>
                </a:solidFill>
                <a:prstDash val="solid"/>
              </a:ln>
            </c:spPr>
          </c:marker>
          <c:errBars>
            <c:errDir val="y"/>
            <c:errBarType val="both"/>
            <c:errValType val="stdErr"/>
            <c:spPr>
              <a:ln w="2219">
                <a:solidFill>
                  <a:srgbClr val="000000"/>
                </a:solidFill>
                <a:prstDash val="solid"/>
              </a:ln>
            </c:spPr>
          </c:errBars>
          <c:xVal>
            <c:numRef>
              <c:f>Лист1!$N$4:$N$12</c:f>
              <c:numCache>
                <c:formatCode>General</c:formatCode>
                <c:ptCount val="9"/>
                <c:pt idx="0">
                  <c:v>41</c:v>
                </c:pt>
                <c:pt idx="1">
                  <c:v>67.8</c:v>
                </c:pt>
                <c:pt idx="2">
                  <c:v>94.6</c:v>
                </c:pt>
                <c:pt idx="3">
                  <c:v>121.4</c:v>
                </c:pt>
                <c:pt idx="4">
                  <c:v>148.19999999999999</c:v>
                </c:pt>
                <c:pt idx="5">
                  <c:v>175</c:v>
                </c:pt>
                <c:pt idx="6">
                  <c:v>201.8</c:v>
                </c:pt>
                <c:pt idx="7">
                  <c:v>228.6</c:v>
                </c:pt>
                <c:pt idx="8">
                  <c:v>255.4</c:v>
                </c:pt>
              </c:numCache>
            </c:numRef>
          </c:xVal>
          <c:yVal>
            <c:numRef>
              <c:f>Лист1!$M$4:$M$12</c:f>
              <c:numCache>
                <c:formatCode>General</c:formatCode>
                <c:ptCount val="9"/>
                <c:pt idx="0">
                  <c:v>4000</c:v>
                </c:pt>
                <c:pt idx="1">
                  <c:v>10000</c:v>
                </c:pt>
                <c:pt idx="2">
                  <c:v>19000</c:v>
                </c:pt>
                <c:pt idx="3">
                  <c:v>22000</c:v>
                </c:pt>
                <c:pt idx="4">
                  <c:v>24000</c:v>
                </c:pt>
                <c:pt idx="5">
                  <c:v>26500</c:v>
                </c:pt>
                <c:pt idx="6">
                  <c:v>28000</c:v>
                </c:pt>
                <c:pt idx="7">
                  <c:v>30000</c:v>
                </c:pt>
                <c:pt idx="8">
                  <c:v>31400</c:v>
                </c:pt>
              </c:numCache>
            </c:numRef>
          </c:yVal>
          <c:smooth val="1"/>
        </c:ser>
        <c:ser>
          <c:idx val="3"/>
          <c:order val="3"/>
          <c:tx>
            <c:v>15 ч</c:v>
          </c:tx>
          <c:spPr>
            <a:ln w="11093">
              <a:solidFill>
                <a:srgbClr val="800000"/>
              </a:solidFill>
              <a:prstDash val="solid"/>
            </a:ln>
          </c:spPr>
          <c:marker>
            <c:symbol val="x"/>
            <c:size val="4"/>
            <c:spPr>
              <a:noFill/>
              <a:ln>
                <a:solidFill>
                  <a:srgbClr val="800000"/>
                </a:solidFill>
                <a:prstDash val="solid"/>
              </a:ln>
            </c:spPr>
          </c:marker>
          <c:errBars>
            <c:errDir val="y"/>
            <c:errBarType val="both"/>
            <c:errValType val="stdErr"/>
            <c:spPr>
              <a:ln w="2219">
                <a:solidFill>
                  <a:srgbClr val="000000"/>
                </a:solidFill>
                <a:prstDash val="solid"/>
              </a:ln>
            </c:spPr>
          </c:errBars>
          <c:xVal>
            <c:numRef>
              <c:f>Лист1!$S$4:$S$11</c:f>
              <c:numCache>
                <c:formatCode>General</c:formatCode>
                <c:ptCount val="8"/>
                <c:pt idx="0">
                  <c:v>41</c:v>
                </c:pt>
                <c:pt idx="1">
                  <c:v>67.8</c:v>
                </c:pt>
                <c:pt idx="2">
                  <c:v>94.6</c:v>
                </c:pt>
                <c:pt idx="3">
                  <c:v>121.4</c:v>
                </c:pt>
                <c:pt idx="4">
                  <c:v>175</c:v>
                </c:pt>
                <c:pt idx="5">
                  <c:v>201.8</c:v>
                </c:pt>
                <c:pt idx="6">
                  <c:v>228.6</c:v>
                </c:pt>
                <c:pt idx="7">
                  <c:v>255.4</c:v>
                </c:pt>
              </c:numCache>
            </c:numRef>
          </c:xVal>
          <c:yVal>
            <c:numRef>
              <c:f>Лист1!$R$4:$R$11</c:f>
              <c:numCache>
                <c:formatCode>General</c:formatCode>
                <c:ptCount val="8"/>
                <c:pt idx="0">
                  <c:v>20</c:v>
                </c:pt>
                <c:pt idx="1">
                  <c:v>7000</c:v>
                </c:pt>
                <c:pt idx="2">
                  <c:v>9500</c:v>
                </c:pt>
                <c:pt idx="3">
                  <c:v>16000</c:v>
                </c:pt>
                <c:pt idx="4">
                  <c:v>21000</c:v>
                </c:pt>
                <c:pt idx="5">
                  <c:v>22500</c:v>
                </c:pt>
                <c:pt idx="6">
                  <c:v>23000</c:v>
                </c:pt>
                <c:pt idx="7">
                  <c:v>25500</c:v>
                </c:pt>
              </c:numCache>
            </c:numRef>
          </c:yVal>
          <c:smooth val="1"/>
        </c:ser>
        <c:axId val="46544768"/>
        <c:axId val="46551040"/>
      </c:scatterChart>
      <c:valAx>
        <c:axId val="46544768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el-GR" sz="1000" b="1" i="0" strike="noStrike" baseline="0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σ, </a:t>
                </a:r>
                <a:r>
                  <a:rPr lang="ru-RU" sz="1000" b="1" i="0" strike="noStrike" baseline="0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МПа</a:t>
                </a:r>
              </a:p>
            </c:rich>
          </c:tx>
          <c:layout>
            <c:manualLayout>
              <c:xMode val="edge"/>
              <c:yMode val="edge"/>
              <c:x val="0.41929654009649703"/>
              <c:y val="0.88393365722901662"/>
            </c:manualLayout>
          </c:layout>
          <c:spPr>
            <a:noFill/>
            <a:ln w="22185">
              <a:noFill/>
            </a:ln>
          </c:spPr>
        </c:title>
        <c:numFmt formatCode="General" sourceLinked="1"/>
        <c:tickLblPos val="nextTo"/>
        <c:spPr>
          <a:ln w="2773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99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46551040"/>
        <c:crosses val="autoZero"/>
        <c:crossBetween val="midCat"/>
      </c:valAx>
      <c:valAx>
        <c:axId val="46551040"/>
        <c:scaling>
          <c:orientation val="minMax"/>
          <c:max val="60000"/>
          <c:min val="0"/>
        </c:scaling>
        <c:axPos val="l"/>
        <c:title>
          <c:tx>
            <c:rich>
              <a:bodyPr/>
              <a:lstStyle/>
              <a:p>
                <a:pPr>
                  <a:defRPr sz="196" b="0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en-US" sz="839" b="1" i="0" strike="noStrike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E</a:t>
                </a:r>
                <a:r>
                  <a:rPr lang="el-GR" sz="839" b="1" i="0" strike="noStrike" baseline="-25000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Σ</a:t>
                </a:r>
                <a:r>
                  <a:rPr lang="el-GR" sz="839" b="1" i="0" strike="noStrike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, </a:t>
                </a:r>
                <a:r>
                  <a:rPr lang="ru-RU" sz="839" b="1" i="0" strike="noStrike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отн. ед.</a:t>
                </a:r>
              </a:p>
            </c:rich>
          </c:tx>
          <c:layout>
            <c:manualLayout>
              <c:xMode val="edge"/>
              <c:yMode val="edge"/>
              <c:x val="4.6729921857718171E-3"/>
              <c:y val="0.23841030509484298"/>
            </c:manualLayout>
          </c:layout>
          <c:spPr>
            <a:noFill/>
            <a:ln w="22185">
              <a:noFill/>
            </a:ln>
          </c:spPr>
        </c:title>
        <c:numFmt formatCode="General" sourceLinked="1"/>
        <c:tickLblPos val="nextTo"/>
        <c:spPr>
          <a:ln w="2773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99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46544768"/>
        <c:crosses val="autoZero"/>
        <c:crossBetween val="midCat"/>
        <c:majorUnit val="20000"/>
      </c:valAx>
      <c:spPr>
        <a:solidFill>
          <a:schemeClr val="bg1"/>
        </a:solidFill>
        <a:ln w="2773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4105513006773924"/>
          <c:y val="4.3288099625844664E-2"/>
          <c:w val="0.15287691544251714"/>
          <c:h val="0.29006273152026413"/>
        </c:manualLayout>
      </c:layout>
      <c:spPr>
        <a:solidFill>
          <a:srgbClr val="FFFFFF"/>
        </a:solidFill>
        <a:ln w="2773">
          <a:solidFill>
            <a:srgbClr val="000000"/>
          </a:solidFill>
          <a:prstDash val="solid"/>
        </a:ln>
      </c:spPr>
      <c:txPr>
        <a:bodyPr/>
        <a:lstStyle/>
        <a:p>
          <a:pPr>
            <a:defRPr sz="642" b="0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gap"/>
  </c:chart>
  <c:spPr>
    <a:solidFill>
      <a:prstClr val="white"/>
    </a:solidFill>
    <a:ln>
      <a:noFill/>
    </a:ln>
  </c:spPr>
  <c:txPr>
    <a:bodyPr/>
    <a:lstStyle/>
    <a:p>
      <a:pPr>
        <a:defRPr sz="196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0.19639496696078818"/>
          <c:y val="3.9883523216899454E-2"/>
          <c:w val="0.7173964309737666"/>
          <c:h val="0.78063247302420535"/>
        </c:manualLayout>
      </c:layout>
      <c:scatterChart>
        <c:scatterStyle val="lineMarker"/>
        <c:ser>
          <c:idx val="0"/>
          <c:order val="0"/>
          <c:tx>
            <c:v>1 ч</c:v>
          </c:tx>
          <c:spPr>
            <a:ln w="25400">
              <a:noFill/>
            </a:ln>
          </c:spPr>
          <c:marker>
            <c:symbol val="diamond"/>
            <c:size val="3"/>
            <c:spPr>
              <a:solidFill>
                <a:schemeClr val="tx1"/>
              </a:solidFill>
              <a:ln>
                <a:solidFill>
                  <a:sysClr val="windowText" lastClr="000000"/>
                </a:solidFill>
              </a:ln>
            </c:spPr>
          </c:marker>
          <c:trendline>
            <c:spPr>
              <a:ln w="15875"/>
            </c:spPr>
            <c:trendlineType val="poly"/>
            <c:order val="4"/>
          </c:trendline>
          <c:errBars>
            <c:errDir val="y"/>
            <c:errBarType val="both"/>
            <c:errValType val="stdErr"/>
            <c:spPr>
              <a:ln w="3175">
                <a:solidFill>
                  <a:srgbClr val="000000"/>
                </a:solidFill>
                <a:prstDash val="solid"/>
              </a:ln>
            </c:spPr>
          </c:errBars>
          <c:xVal>
            <c:numRef>
              <c:f>Лист1!$B$1:$B$10</c:f>
              <c:numCache>
                <c:formatCode>General</c:formatCode>
                <c:ptCount val="10"/>
                <c:pt idx="0">
                  <c:v>41</c:v>
                </c:pt>
                <c:pt idx="1">
                  <c:v>67.8</c:v>
                </c:pt>
                <c:pt idx="2">
                  <c:v>94.6</c:v>
                </c:pt>
                <c:pt idx="3">
                  <c:v>121.4</c:v>
                </c:pt>
                <c:pt idx="4">
                  <c:v>148.19999999999999</c:v>
                </c:pt>
                <c:pt idx="5">
                  <c:v>175</c:v>
                </c:pt>
                <c:pt idx="6">
                  <c:v>201.8</c:v>
                </c:pt>
                <c:pt idx="7">
                  <c:v>228.6</c:v>
                </c:pt>
                <c:pt idx="8">
                  <c:v>255.4</c:v>
                </c:pt>
              </c:numCache>
            </c:numRef>
          </c:xVal>
          <c:yVal>
            <c:numRef>
              <c:f>Лист1!$C$1:$C$10</c:f>
              <c:numCache>
                <c:formatCode>General</c:formatCode>
                <c:ptCount val="10"/>
                <c:pt idx="0">
                  <c:v>300</c:v>
                </c:pt>
                <c:pt idx="1">
                  <c:v>650</c:v>
                </c:pt>
                <c:pt idx="2">
                  <c:v>550</c:v>
                </c:pt>
                <c:pt idx="3">
                  <c:v>280</c:v>
                </c:pt>
                <c:pt idx="4">
                  <c:v>370</c:v>
                </c:pt>
                <c:pt idx="5">
                  <c:v>100</c:v>
                </c:pt>
                <c:pt idx="6">
                  <c:v>150</c:v>
                </c:pt>
                <c:pt idx="7">
                  <c:v>170</c:v>
                </c:pt>
                <c:pt idx="8">
                  <c:v>130</c:v>
                </c:pt>
              </c:numCache>
            </c:numRef>
          </c:yVal>
        </c:ser>
        <c:ser>
          <c:idx val="1"/>
          <c:order val="1"/>
          <c:tx>
            <c:v>15 ч</c:v>
          </c:tx>
          <c:spPr>
            <a:ln w="25400">
              <a:noFill/>
            </a:ln>
          </c:spPr>
          <c:marker>
            <c:symbol val="triangle"/>
            <c:size val="3"/>
            <c:spPr>
              <a:solidFill>
                <a:schemeClr val="tx1"/>
              </a:solidFill>
              <a:ln>
                <a:solidFill>
                  <a:sysClr val="windowText" lastClr="000000">
                    <a:lumMod val="50000"/>
                    <a:lumOff val="50000"/>
                  </a:sysClr>
                </a:solidFill>
              </a:ln>
            </c:spPr>
          </c:marker>
          <c:trendline>
            <c:spPr>
              <a:ln w="15875">
                <a:solidFill>
                  <a:schemeClr val="tx1">
                    <a:lumMod val="50000"/>
                    <a:lumOff val="50000"/>
                  </a:schemeClr>
                </a:solidFill>
              </a:ln>
            </c:spPr>
            <c:trendlineType val="poly"/>
            <c:order val="4"/>
          </c:trendline>
          <c:errBars>
            <c:errDir val="y"/>
            <c:errBarType val="both"/>
            <c:errValType val="stdErr"/>
          </c:errBars>
          <c:xVal>
            <c:numRef>
              <c:f>Лист1!$B$1:$B$10</c:f>
              <c:numCache>
                <c:formatCode>General</c:formatCode>
                <c:ptCount val="10"/>
                <c:pt idx="0">
                  <c:v>41</c:v>
                </c:pt>
                <c:pt idx="1">
                  <c:v>67.8</c:v>
                </c:pt>
                <c:pt idx="2">
                  <c:v>94.6</c:v>
                </c:pt>
                <c:pt idx="3">
                  <c:v>121.4</c:v>
                </c:pt>
                <c:pt idx="4">
                  <c:v>148.19999999999999</c:v>
                </c:pt>
                <c:pt idx="5">
                  <c:v>175</c:v>
                </c:pt>
                <c:pt idx="6">
                  <c:v>201.8</c:v>
                </c:pt>
                <c:pt idx="7">
                  <c:v>228.6</c:v>
                </c:pt>
                <c:pt idx="8">
                  <c:v>255.4</c:v>
                </c:pt>
              </c:numCache>
            </c:numRef>
          </c:xVal>
          <c:yVal>
            <c:numRef>
              <c:f>Лист1!$D$1:$D$10</c:f>
              <c:numCache>
                <c:formatCode>General</c:formatCode>
                <c:ptCount val="10"/>
                <c:pt idx="0">
                  <c:v>0</c:v>
                </c:pt>
                <c:pt idx="1">
                  <c:v>240</c:v>
                </c:pt>
                <c:pt idx="2">
                  <c:v>210</c:v>
                </c:pt>
                <c:pt idx="3">
                  <c:v>280</c:v>
                </c:pt>
                <c:pt idx="4">
                  <c:v>220</c:v>
                </c:pt>
                <c:pt idx="5">
                  <c:v>180</c:v>
                </c:pt>
                <c:pt idx="6">
                  <c:v>170</c:v>
                </c:pt>
                <c:pt idx="7">
                  <c:v>200</c:v>
                </c:pt>
                <c:pt idx="8">
                  <c:v>170</c:v>
                </c:pt>
                <c:pt idx="9">
                  <c:v>130</c:v>
                </c:pt>
              </c:numCache>
            </c:numRef>
          </c:yVal>
        </c:ser>
        <c:axId val="41113856"/>
        <c:axId val="41120128"/>
      </c:scatterChart>
      <c:valAx>
        <c:axId val="41113856"/>
        <c:scaling>
          <c:orientation val="minMax"/>
        </c:scaling>
        <c:axPos val="b"/>
        <c:title>
          <c:tx>
            <c:rich>
              <a:bodyPr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50" b="1" i="0" u="none" strike="noStrike" kern="1200" baseline="0">
                    <a:solidFill>
                      <a:sysClr val="windowText" lastClr="000000"/>
                    </a:solidFill>
                    <a:latin typeface="Times New Roman" pitchFamily="18" charset="0"/>
                    <a:ea typeface="+mn-ea"/>
                    <a:cs typeface="Times New Roman" pitchFamily="18" charset="0"/>
                  </a:defRPr>
                </a:pPr>
                <a:r>
                  <a:rPr lang="el-GR" sz="1050" b="1" i="0" baseline="0">
                    <a:latin typeface="Times New Roman" pitchFamily="18" charset="0"/>
                    <a:cs typeface="Times New Roman" pitchFamily="18" charset="0"/>
                  </a:rPr>
                  <a:t>σ, </a:t>
                </a:r>
                <a:r>
                  <a:rPr lang="en-US" sz="1050" b="1" i="0" baseline="0">
                    <a:latin typeface="Times New Roman" pitchFamily="18" charset="0"/>
                    <a:cs typeface="Times New Roman" pitchFamily="18" charset="0"/>
                  </a:rPr>
                  <a:t>M</a:t>
                </a:r>
                <a:r>
                  <a:rPr lang="ru-RU" sz="1050" b="1" i="0" baseline="0">
                    <a:latin typeface="Times New Roman" pitchFamily="18" charset="0"/>
                    <a:cs typeface="Times New Roman" pitchFamily="18" charset="0"/>
                  </a:rPr>
                  <a:t>П</a:t>
                </a:r>
                <a:r>
                  <a:rPr lang="en-US" sz="1050" b="1" i="0" baseline="0">
                    <a:latin typeface="Times New Roman" pitchFamily="18" charset="0"/>
                    <a:cs typeface="Times New Roman" pitchFamily="18" charset="0"/>
                  </a:rPr>
                  <a:t>a</a:t>
                </a:r>
                <a:endParaRPr lang="ru-RU" sz="1050">
                  <a:latin typeface="Times New Roman" pitchFamily="18" charset="0"/>
                  <a:cs typeface="Times New Roman" pitchFamily="18" charset="0"/>
                </a:endParaRPr>
              </a:p>
            </c:rich>
          </c:tx>
        </c:title>
        <c:numFmt formatCode="General" sourceLinked="1"/>
        <c:majorTickMark val="in"/>
        <c:tickLblPos val="nextTo"/>
        <c:spPr>
          <a:noFill/>
          <a:ln w="9525" cap="flat" cmpd="sng" algn="ctr">
            <a:solidFill>
              <a:schemeClr val="dk1">
                <a:shade val="95000"/>
                <a:satMod val="105000"/>
              </a:schemeClr>
            </a:solidFill>
            <a:prstDash val="solid"/>
          </a:ln>
          <a:effectLst/>
        </c:spPr>
        <c:txPr>
          <a:bodyPr rot="0" vert="horz"/>
          <a:lstStyle/>
          <a:p>
            <a:pPr>
              <a:defRPr sz="8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41120128"/>
        <c:crosses val="autoZero"/>
        <c:crossBetween val="midCat"/>
      </c:valAx>
      <c:valAx>
        <c:axId val="41120128"/>
        <c:scaling>
          <c:orientation val="minMax"/>
          <c:max val="700"/>
          <c:min val="0"/>
        </c:scaling>
        <c:axPos val="l"/>
        <c:title>
          <c:tx>
            <c:rich>
              <a:bodyPr rot="-5400000" vert="horz"/>
              <a:lstStyle/>
              <a:p>
                <a:pPr>
                  <a:defRPr sz="120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en-US" sz="1200" b="1" i="0" baseline="0">
                    <a:latin typeface="Times New Roman" pitchFamily="18" charset="0"/>
                    <a:cs typeface="Times New Roman" pitchFamily="18" charset="0"/>
                  </a:rPr>
                  <a:t>N, </a:t>
                </a:r>
                <a:r>
                  <a:rPr lang="ru-RU" sz="1200" b="1" i="0" baseline="0">
                    <a:latin typeface="Times New Roman" pitchFamily="18" charset="0"/>
                    <a:cs typeface="Times New Roman" pitchFamily="18" charset="0"/>
                  </a:rPr>
                  <a:t>мкс</a:t>
                </a:r>
                <a:endParaRPr lang="ru-RU" sz="1200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0"/>
              <c:y val="0.2820162287126915"/>
            </c:manualLayout>
          </c:layout>
        </c:title>
        <c:numFmt formatCode="General" sourceLinked="1"/>
        <c:majorTickMark val="in"/>
        <c:tickLblPos val="nextTo"/>
        <c:spPr>
          <a:noFill/>
          <a:ln w="9525" cap="flat" cmpd="sng" algn="ctr">
            <a:solidFill>
              <a:schemeClr val="dk1">
                <a:shade val="95000"/>
                <a:satMod val="105000"/>
              </a:schemeClr>
            </a:solidFill>
            <a:prstDash val="solid"/>
          </a:ln>
          <a:effectLst/>
        </c:spPr>
        <c:txPr>
          <a:bodyPr/>
          <a:lstStyle/>
          <a:p>
            <a:pPr>
              <a:defRPr sz="900" b="1">
                <a:solidFill>
                  <a:schemeClr val="tx1"/>
                </a:solidFill>
                <a:latin typeface="Times New Roman" pitchFamily="18" charset="0"/>
                <a:ea typeface="+mn-ea"/>
                <a:cs typeface="Times New Roman" pitchFamily="18" charset="0"/>
              </a:defRPr>
            </a:pPr>
            <a:endParaRPr lang="ru-RU"/>
          </a:p>
        </c:txPr>
        <c:crossAx val="41113856"/>
        <c:crosses val="autoZero"/>
        <c:crossBetween val="midCat"/>
      </c:valAx>
      <c:spPr>
        <a:solidFill>
          <a:schemeClr val="bg1"/>
        </a:solidFill>
        <a:ln w="15875">
          <a:solidFill>
            <a:schemeClr val="tx1"/>
          </a:solidFill>
        </a:ln>
      </c:spPr>
    </c:plotArea>
    <c:legend>
      <c:legendPos val="r"/>
      <c:legendEntry>
        <c:idx val="2"/>
        <c:delete val="1"/>
      </c:legendEntry>
      <c:legendEntry>
        <c:idx val="3"/>
        <c:delete val="1"/>
      </c:legendEntry>
      <c:layout>
        <c:manualLayout>
          <c:xMode val="edge"/>
          <c:yMode val="edge"/>
          <c:x val="0.70017603175122956"/>
          <c:y val="6.9156546545696834E-2"/>
          <c:w val="0.19282110236220473"/>
          <c:h val="0.19846357136392434"/>
        </c:manualLayout>
      </c:layout>
      <c:txPr>
        <a:bodyPr/>
        <a:lstStyle/>
        <a:p>
          <a:pPr>
            <a:defRPr sz="1100"/>
          </a:pPr>
          <a:endParaRPr lang="ru-RU"/>
        </a:p>
      </c:txPr>
    </c:legend>
    <c:plotVisOnly val="1"/>
    <c:dispBlanksAs val="gap"/>
  </c:chart>
  <c:spPr>
    <a:ln>
      <a:noFill/>
    </a:ln>
  </c:spPr>
  <c:externalData r:id="rId1"/>
  <c:userShapes r:id="rId2"/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AFA1453-940F-481B-873E-429E7363669C}" type="doc">
      <dgm:prSet loTypeId="urn:microsoft.com/office/officeart/2005/8/layout/process2" loCatId="process" qsTypeId="urn:microsoft.com/office/officeart/2005/8/quickstyle/simple3" qsCatId="simple" csTypeId="urn:microsoft.com/office/officeart/2005/8/colors/accent1_2" csCatId="accent1" phldr="1"/>
      <dgm:spPr/>
    </dgm:pt>
    <dgm:pt modelId="{09D28FD0-6226-44DF-B0AE-B0D8A620ECDC}">
      <dgm:prSet phldrT="[Текст]" custT="1"/>
      <dgm:spPr/>
      <dgm:t>
        <a:bodyPr/>
        <a:lstStyle/>
        <a:p>
          <a:pPr rtl="0"/>
          <a:r>
            <a:rPr kumimoji="0" lang="ru-RU" sz="1600" b="0" i="0" u="none" strike="noStrike" cap="none" normalizeH="0" baseline="0" dirty="0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1. Диффузия атомов (протонов) из электролита к поверхности металла.</a:t>
          </a:r>
          <a:endParaRPr lang="ru-RU" sz="1600" dirty="0">
            <a:latin typeface="Times New Roman" pitchFamily="18" charset="0"/>
            <a:cs typeface="Times New Roman" pitchFamily="18" charset="0"/>
          </a:endParaRPr>
        </a:p>
      </dgm:t>
    </dgm:pt>
    <dgm:pt modelId="{3D71B62C-E166-45AF-A1B7-492AEFA6B98D}" type="parTrans" cxnId="{847271DB-7256-42EB-813B-6893FBC1F3CA}">
      <dgm:prSet/>
      <dgm:spPr/>
      <dgm:t>
        <a:bodyPr/>
        <a:lstStyle/>
        <a:p>
          <a:endParaRPr lang="ru-RU" sz="2400"/>
        </a:p>
      </dgm:t>
    </dgm:pt>
    <dgm:pt modelId="{58D09F65-8DD4-40D0-B070-BB752D62BB37}" type="sibTrans" cxnId="{847271DB-7256-42EB-813B-6893FBC1F3CA}">
      <dgm:prSet custT="1"/>
      <dgm:spPr/>
      <dgm:t>
        <a:bodyPr/>
        <a:lstStyle/>
        <a:p>
          <a:endParaRPr lang="ru-RU" sz="1000"/>
        </a:p>
      </dgm:t>
    </dgm:pt>
    <dgm:pt modelId="{152C00D2-4030-4735-B9A1-C9B9D564DA32}">
      <dgm:prSet phldrT="[Текст]" custT="1"/>
      <dgm:spPr/>
      <dgm:t>
        <a:bodyPr/>
        <a:lstStyle/>
        <a:p>
          <a:pPr rtl="0"/>
          <a:r>
            <a:rPr kumimoji="0" lang="ru-RU" sz="1600" b="0" i="0" u="none" strike="noStrike" cap="none" normalizeH="0" baseline="0" dirty="0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2. Адсорбция атомов водорода на поверхности металла.</a:t>
          </a:r>
          <a:endParaRPr lang="ru-RU" sz="1600" dirty="0">
            <a:latin typeface="Times New Roman" pitchFamily="18" charset="0"/>
            <a:cs typeface="Times New Roman" pitchFamily="18" charset="0"/>
          </a:endParaRPr>
        </a:p>
      </dgm:t>
    </dgm:pt>
    <dgm:pt modelId="{AA32A721-4FA5-4633-93D4-ACE60A062DE9}" type="parTrans" cxnId="{F2A37319-3C20-40C8-8D43-7A95076A8BF5}">
      <dgm:prSet/>
      <dgm:spPr/>
      <dgm:t>
        <a:bodyPr/>
        <a:lstStyle/>
        <a:p>
          <a:endParaRPr lang="ru-RU" sz="2400"/>
        </a:p>
      </dgm:t>
    </dgm:pt>
    <dgm:pt modelId="{C7771925-DF94-4816-A57F-1D42A76E66A7}" type="sibTrans" cxnId="{F2A37319-3C20-40C8-8D43-7A95076A8BF5}">
      <dgm:prSet custT="1"/>
      <dgm:spPr/>
      <dgm:t>
        <a:bodyPr/>
        <a:lstStyle/>
        <a:p>
          <a:endParaRPr lang="ru-RU" sz="900"/>
        </a:p>
      </dgm:t>
    </dgm:pt>
    <dgm:pt modelId="{F33879C2-3C7B-492A-A50F-FA5E7C3DB4EA}">
      <dgm:prSet phldrT="[Текст]" custT="1"/>
      <dgm:spPr/>
      <dgm:t>
        <a:bodyPr/>
        <a:lstStyle/>
        <a:p>
          <a:pPr rtl="0"/>
          <a:r>
            <a:rPr kumimoji="0" lang="ru-RU" sz="1600" b="0" i="0" u="none" strike="noStrike" cap="none" normalizeH="0" baseline="0" dirty="0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3. Окклюзия водорода поверхностью металла.</a:t>
          </a:r>
          <a:endParaRPr lang="ru-RU" sz="1600" dirty="0">
            <a:latin typeface="Times New Roman" pitchFamily="18" charset="0"/>
            <a:cs typeface="Times New Roman" pitchFamily="18" charset="0"/>
          </a:endParaRPr>
        </a:p>
      </dgm:t>
    </dgm:pt>
    <dgm:pt modelId="{4C2367B6-4685-45B4-8D7A-9AE356BB3A60}" type="parTrans" cxnId="{861C77AC-5DAC-4AFA-9449-C1411EA09D39}">
      <dgm:prSet/>
      <dgm:spPr/>
      <dgm:t>
        <a:bodyPr/>
        <a:lstStyle/>
        <a:p>
          <a:endParaRPr lang="ru-RU" sz="2400"/>
        </a:p>
      </dgm:t>
    </dgm:pt>
    <dgm:pt modelId="{5D420B1A-CB11-4B1A-B346-F91664F39E6F}" type="sibTrans" cxnId="{861C77AC-5DAC-4AFA-9449-C1411EA09D39}">
      <dgm:prSet custT="1"/>
      <dgm:spPr/>
      <dgm:t>
        <a:bodyPr/>
        <a:lstStyle/>
        <a:p>
          <a:endParaRPr lang="ru-RU" sz="1000"/>
        </a:p>
      </dgm:t>
    </dgm:pt>
    <dgm:pt modelId="{A63A2EC6-1B8A-4D8D-97C0-E8A626A6B382}">
      <dgm:prSet phldrT="[Текст]" custT="1"/>
      <dgm:spPr/>
      <dgm:t>
        <a:bodyPr/>
        <a:lstStyle/>
        <a:p>
          <a:pPr rtl="0"/>
          <a:r>
            <a:rPr kumimoji="0" lang="ru-RU" sz="1600" b="0" i="0" u="none" strike="noStrike" cap="none" normalizeH="0" baseline="0" dirty="0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8. Развитие эффекта локализации водородной пластичности. Облегчение роста и </a:t>
          </a:r>
          <a:r>
            <a:rPr kumimoji="0" lang="ru-RU" sz="1600" b="0" i="0" u="none" strike="noStrike" cap="none" normalizeH="0" baseline="0" dirty="0" err="1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перколяции</a:t>
          </a:r>
          <a:r>
            <a:rPr kumimoji="0" lang="ru-RU" sz="1600" b="0" i="0" u="none" strike="noStrike" cap="none" normalizeH="0" baseline="0" dirty="0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 исходных и образовавшихся микротрещин.</a:t>
          </a:r>
          <a:endParaRPr lang="ru-RU" sz="1600" dirty="0">
            <a:latin typeface="Times New Roman" pitchFamily="18" charset="0"/>
            <a:cs typeface="Times New Roman" pitchFamily="18" charset="0"/>
          </a:endParaRPr>
        </a:p>
      </dgm:t>
    </dgm:pt>
    <dgm:pt modelId="{F52A268B-A730-4331-8A03-129B9E422258}" type="parTrans" cxnId="{4FE19B19-7829-4A42-9805-F3365091914D}">
      <dgm:prSet/>
      <dgm:spPr/>
      <dgm:t>
        <a:bodyPr/>
        <a:lstStyle/>
        <a:p>
          <a:endParaRPr lang="ru-RU" sz="2400"/>
        </a:p>
      </dgm:t>
    </dgm:pt>
    <dgm:pt modelId="{509B1C72-0B80-4571-8135-255A1FCC997D}" type="sibTrans" cxnId="{4FE19B19-7829-4A42-9805-F3365091914D}">
      <dgm:prSet/>
      <dgm:spPr/>
      <dgm:t>
        <a:bodyPr/>
        <a:lstStyle/>
        <a:p>
          <a:endParaRPr lang="ru-RU" sz="2400"/>
        </a:p>
      </dgm:t>
    </dgm:pt>
    <dgm:pt modelId="{EE6E049B-50C2-4E34-8B19-01DCB45D65E5}">
      <dgm:prSet phldrT="[Текст]" custT="1"/>
      <dgm:spPr/>
      <dgm:t>
        <a:bodyPr/>
        <a:lstStyle/>
        <a:p>
          <a:r>
            <a:rPr kumimoji="0" lang="ru-RU" sz="1600" b="0" i="0" u="none" strike="noStrike" cap="none" normalizeH="0" baseline="0" dirty="0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5.Хемосорбция, </a:t>
          </a:r>
          <a:r>
            <a:rPr kumimoji="0" lang="ru-RU" sz="1600" b="0" i="0" u="none" strike="noStrike" cap="none" normalizeH="0" baseline="0" dirty="0" err="1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молизация</a:t>
          </a:r>
          <a:r>
            <a:rPr kumimoji="0" lang="ru-RU" sz="1600" b="0" i="0" u="none" strike="noStrike" cap="none" normalizeH="0" baseline="0" dirty="0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 водорода и рост его давления в коллекторах-ловушках.</a:t>
          </a:r>
          <a:endParaRPr lang="ru-RU" sz="1600" dirty="0">
            <a:latin typeface="Times New Roman" pitchFamily="18" charset="0"/>
            <a:cs typeface="Times New Roman" pitchFamily="18" charset="0"/>
          </a:endParaRPr>
        </a:p>
      </dgm:t>
    </dgm:pt>
    <dgm:pt modelId="{6BF384F1-B263-4CD0-AC03-09D2C8360F8B}" type="parTrans" cxnId="{8C8ED8EB-A726-4C7D-A1D8-6DCB4B859F30}">
      <dgm:prSet/>
      <dgm:spPr/>
      <dgm:t>
        <a:bodyPr/>
        <a:lstStyle/>
        <a:p>
          <a:endParaRPr lang="ru-RU" sz="2400"/>
        </a:p>
      </dgm:t>
    </dgm:pt>
    <dgm:pt modelId="{CF7D333A-CA98-40BE-A725-6AA665A10E2B}" type="sibTrans" cxnId="{8C8ED8EB-A726-4C7D-A1D8-6DCB4B859F30}">
      <dgm:prSet custT="1"/>
      <dgm:spPr/>
      <dgm:t>
        <a:bodyPr/>
        <a:lstStyle/>
        <a:p>
          <a:endParaRPr lang="ru-RU" sz="1100"/>
        </a:p>
      </dgm:t>
    </dgm:pt>
    <dgm:pt modelId="{DF308160-759E-4C73-AB02-053B2337AA8B}">
      <dgm:prSet phldrT="[Текст]" custT="1"/>
      <dgm:spPr/>
      <dgm:t>
        <a:bodyPr/>
        <a:lstStyle/>
        <a:p>
          <a:pPr rtl="0"/>
          <a:r>
            <a:rPr kumimoji="0" lang="ru-RU" sz="1600" b="0" i="0" u="none" strike="noStrike" cap="none" normalizeH="0" baseline="0" dirty="0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6. Создание и рост количества стохастических водородных ловушек как зон высокой концентрации напряжений.</a:t>
          </a:r>
          <a:endParaRPr lang="ru-RU" sz="1600" dirty="0">
            <a:latin typeface="Times New Roman" pitchFamily="18" charset="0"/>
            <a:cs typeface="Times New Roman" pitchFamily="18" charset="0"/>
          </a:endParaRPr>
        </a:p>
      </dgm:t>
    </dgm:pt>
    <dgm:pt modelId="{6E4A1B5E-8325-4B62-919C-095FCC446F2F}" type="parTrans" cxnId="{EF2AD6FD-FFAE-45BE-9FB4-1B5ABD2CBAD7}">
      <dgm:prSet/>
      <dgm:spPr/>
      <dgm:t>
        <a:bodyPr/>
        <a:lstStyle/>
        <a:p>
          <a:endParaRPr lang="ru-RU" sz="2400"/>
        </a:p>
      </dgm:t>
    </dgm:pt>
    <dgm:pt modelId="{EE5018E8-DCDB-416C-A2A6-F4DEB08916F7}" type="sibTrans" cxnId="{EF2AD6FD-FFAE-45BE-9FB4-1B5ABD2CBAD7}">
      <dgm:prSet custT="1"/>
      <dgm:spPr/>
      <dgm:t>
        <a:bodyPr/>
        <a:lstStyle/>
        <a:p>
          <a:endParaRPr lang="ru-RU" sz="1000"/>
        </a:p>
      </dgm:t>
    </dgm:pt>
    <dgm:pt modelId="{73AE9219-8A09-47C1-A64E-CDBD8AD9F250}">
      <dgm:prSet phldrT="[Текст]" custT="1"/>
      <dgm:spPr/>
      <dgm:t>
        <a:bodyPr/>
        <a:lstStyle/>
        <a:p>
          <a:r>
            <a:rPr kumimoji="0" lang="ru-RU" sz="1600" b="0" i="0" u="none" strike="noStrike" cap="none" normalizeH="0" baseline="0" dirty="0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7. Достижение величиной давления водорода в ловушках критического значения и появление микротрещин в их окрестностях.</a:t>
          </a:r>
          <a:endParaRPr lang="ru-RU" sz="1600" dirty="0">
            <a:latin typeface="Times New Roman" pitchFamily="18" charset="0"/>
            <a:cs typeface="Times New Roman" pitchFamily="18" charset="0"/>
          </a:endParaRPr>
        </a:p>
      </dgm:t>
    </dgm:pt>
    <dgm:pt modelId="{7F0AD94D-0CF9-497E-822C-7291194FF73F}" type="parTrans" cxnId="{8185A55C-BD60-47FA-BF12-4F8E0E6718C2}">
      <dgm:prSet/>
      <dgm:spPr/>
      <dgm:t>
        <a:bodyPr/>
        <a:lstStyle/>
        <a:p>
          <a:endParaRPr lang="ru-RU" sz="2400"/>
        </a:p>
      </dgm:t>
    </dgm:pt>
    <dgm:pt modelId="{ADE652D4-E612-4542-A929-1D6742EBB557}" type="sibTrans" cxnId="{8185A55C-BD60-47FA-BF12-4F8E0E6718C2}">
      <dgm:prSet custT="1"/>
      <dgm:spPr/>
      <dgm:t>
        <a:bodyPr/>
        <a:lstStyle/>
        <a:p>
          <a:endParaRPr lang="ru-RU" sz="1000"/>
        </a:p>
      </dgm:t>
    </dgm:pt>
    <dgm:pt modelId="{88647D32-63A4-4E7C-AF65-F91C002E5746}">
      <dgm:prSet phldrT="[Текст]" custT="1"/>
      <dgm:spPr/>
      <dgm:t>
        <a:bodyPr/>
        <a:lstStyle/>
        <a:p>
          <a:pPr rtl="0"/>
          <a:r>
            <a:rPr kumimoji="0" lang="ru-RU" sz="1600" b="0" i="0" u="none" strike="noStrike" cap="none" normalizeH="0" baseline="0" dirty="0" smtClean="0">
              <a:ln>
                <a:noFill/>
              </a:ln>
              <a:solidFill>
                <a:schemeClr val="tx1"/>
              </a:solidFill>
              <a:effectLst/>
              <a:latin typeface="Times New Roman" pitchFamily="18" charset="0"/>
              <a:ea typeface="Calibri" pitchFamily="34" charset="0"/>
              <a:cs typeface="Times New Roman" pitchFamily="18" charset="0"/>
            </a:rPr>
            <a:t>4. Диффузия водорода в локальные области растягивающих напряжений (коллекторов).</a:t>
          </a:r>
          <a:endParaRPr lang="ru-RU" sz="1600" dirty="0">
            <a:latin typeface="Times New Roman" pitchFamily="18" charset="0"/>
            <a:cs typeface="Times New Roman" pitchFamily="18" charset="0"/>
          </a:endParaRPr>
        </a:p>
      </dgm:t>
    </dgm:pt>
    <dgm:pt modelId="{BE693E1A-88A5-46D7-9CE2-8B47BCB80E09}" type="parTrans" cxnId="{5EB1E59E-C344-483F-BD25-431ED2CE4990}">
      <dgm:prSet/>
      <dgm:spPr/>
      <dgm:t>
        <a:bodyPr/>
        <a:lstStyle/>
        <a:p>
          <a:endParaRPr lang="ru-RU" sz="2400"/>
        </a:p>
      </dgm:t>
    </dgm:pt>
    <dgm:pt modelId="{F7174588-73D1-47B8-929A-5E07C32AD18A}" type="sibTrans" cxnId="{5EB1E59E-C344-483F-BD25-431ED2CE4990}">
      <dgm:prSet custT="1"/>
      <dgm:spPr/>
      <dgm:t>
        <a:bodyPr/>
        <a:lstStyle/>
        <a:p>
          <a:endParaRPr lang="ru-RU" sz="700"/>
        </a:p>
      </dgm:t>
    </dgm:pt>
    <dgm:pt modelId="{CD41F140-9AB4-4F5B-9396-282E8C074CCC}" type="pres">
      <dgm:prSet presAssocID="{5AFA1453-940F-481B-873E-429E7363669C}" presName="linearFlow" presStyleCnt="0">
        <dgm:presLayoutVars>
          <dgm:resizeHandles val="exact"/>
        </dgm:presLayoutVars>
      </dgm:prSet>
      <dgm:spPr/>
    </dgm:pt>
    <dgm:pt modelId="{B1CBD2CB-6930-42B5-B621-C8F79A5FB2AC}" type="pres">
      <dgm:prSet presAssocID="{09D28FD0-6226-44DF-B0AE-B0D8A620ECDC}" presName="node" presStyleLbl="node1" presStyleIdx="0" presStyleCnt="8" custScaleX="320827" custLinFactNeighborX="0" custLinFactNeighborY="-168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6F1E289-8137-4E19-96DD-F51E2A4501D2}" type="pres">
      <dgm:prSet presAssocID="{58D09F65-8DD4-40D0-B070-BB752D62BB37}" presName="sibTrans" presStyleLbl="sibTrans2D1" presStyleIdx="0" presStyleCnt="7"/>
      <dgm:spPr/>
      <dgm:t>
        <a:bodyPr/>
        <a:lstStyle/>
        <a:p>
          <a:endParaRPr lang="ru-RU"/>
        </a:p>
      </dgm:t>
    </dgm:pt>
    <dgm:pt modelId="{8FB724F1-CF5A-4F54-B162-183F0DEC3D48}" type="pres">
      <dgm:prSet presAssocID="{58D09F65-8DD4-40D0-B070-BB752D62BB37}" presName="connectorText" presStyleLbl="sibTrans2D1" presStyleIdx="0" presStyleCnt="7"/>
      <dgm:spPr/>
      <dgm:t>
        <a:bodyPr/>
        <a:lstStyle/>
        <a:p>
          <a:endParaRPr lang="ru-RU"/>
        </a:p>
      </dgm:t>
    </dgm:pt>
    <dgm:pt modelId="{0AD67FB6-979F-4DE8-9EFE-7B3C65BC8328}" type="pres">
      <dgm:prSet presAssocID="{152C00D2-4030-4735-B9A1-C9B9D564DA32}" presName="node" presStyleLbl="node1" presStyleIdx="1" presStyleCnt="8" custScaleX="32082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8BDBCDDC-5095-4FDF-BA1C-CACED92CEC27}" type="pres">
      <dgm:prSet presAssocID="{C7771925-DF94-4816-A57F-1D42A76E66A7}" presName="sibTrans" presStyleLbl="sibTrans2D1" presStyleIdx="1" presStyleCnt="7"/>
      <dgm:spPr/>
      <dgm:t>
        <a:bodyPr/>
        <a:lstStyle/>
        <a:p>
          <a:endParaRPr lang="ru-RU"/>
        </a:p>
      </dgm:t>
    </dgm:pt>
    <dgm:pt modelId="{D19B16BC-D981-4F51-815E-8B211AAA2E10}" type="pres">
      <dgm:prSet presAssocID="{C7771925-DF94-4816-A57F-1D42A76E66A7}" presName="connectorText" presStyleLbl="sibTrans2D1" presStyleIdx="1" presStyleCnt="7"/>
      <dgm:spPr/>
      <dgm:t>
        <a:bodyPr/>
        <a:lstStyle/>
        <a:p>
          <a:endParaRPr lang="ru-RU"/>
        </a:p>
      </dgm:t>
    </dgm:pt>
    <dgm:pt modelId="{1511F3A2-46A4-44F5-95C1-1809382D4E51}" type="pres">
      <dgm:prSet presAssocID="{F33879C2-3C7B-492A-A50F-FA5E7C3DB4EA}" presName="node" presStyleLbl="node1" presStyleIdx="2" presStyleCnt="8" custScaleX="320827" custLinFactNeighborX="0" custLinFactNeighborY="-9391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B9EF389-47CD-49E9-B9AB-39372E0B7BB8}" type="pres">
      <dgm:prSet presAssocID="{5D420B1A-CB11-4B1A-B346-F91664F39E6F}" presName="sibTrans" presStyleLbl="sibTrans2D1" presStyleIdx="2" presStyleCnt="7"/>
      <dgm:spPr/>
      <dgm:t>
        <a:bodyPr/>
        <a:lstStyle/>
        <a:p>
          <a:endParaRPr lang="ru-RU"/>
        </a:p>
      </dgm:t>
    </dgm:pt>
    <dgm:pt modelId="{DE50B1AF-0A7F-4213-8EA0-C21D82EAE229}" type="pres">
      <dgm:prSet presAssocID="{5D420B1A-CB11-4B1A-B346-F91664F39E6F}" presName="connectorText" presStyleLbl="sibTrans2D1" presStyleIdx="2" presStyleCnt="7"/>
      <dgm:spPr/>
      <dgm:t>
        <a:bodyPr/>
        <a:lstStyle/>
        <a:p>
          <a:endParaRPr lang="ru-RU"/>
        </a:p>
      </dgm:t>
    </dgm:pt>
    <dgm:pt modelId="{F3F20CDD-0A53-4D7B-8860-3EE6947BE9A7}" type="pres">
      <dgm:prSet presAssocID="{88647D32-63A4-4E7C-AF65-F91C002E5746}" presName="node" presStyleLbl="node1" presStyleIdx="3" presStyleCnt="8" custScaleX="32082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85F7B11C-D968-46C7-A66E-657D5E76976A}" type="pres">
      <dgm:prSet presAssocID="{F7174588-73D1-47B8-929A-5E07C32AD18A}" presName="sibTrans" presStyleLbl="sibTrans2D1" presStyleIdx="3" presStyleCnt="7"/>
      <dgm:spPr/>
      <dgm:t>
        <a:bodyPr/>
        <a:lstStyle/>
        <a:p>
          <a:endParaRPr lang="ru-RU"/>
        </a:p>
      </dgm:t>
    </dgm:pt>
    <dgm:pt modelId="{D6766909-25B3-44FC-BA17-506DABAE8C4E}" type="pres">
      <dgm:prSet presAssocID="{F7174588-73D1-47B8-929A-5E07C32AD18A}" presName="connectorText" presStyleLbl="sibTrans2D1" presStyleIdx="3" presStyleCnt="7"/>
      <dgm:spPr/>
      <dgm:t>
        <a:bodyPr/>
        <a:lstStyle/>
        <a:p>
          <a:endParaRPr lang="ru-RU"/>
        </a:p>
      </dgm:t>
    </dgm:pt>
    <dgm:pt modelId="{51B3F708-FF3B-421E-8274-86337E1D09FC}" type="pres">
      <dgm:prSet presAssocID="{EE6E049B-50C2-4E34-8B19-01DCB45D65E5}" presName="node" presStyleLbl="node1" presStyleIdx="4" presStyleCnt="8" custScaleX="322133" custLinFactNeighborX="-653" custLinFactNeighborY="-2751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F1FDC16-0B01-45CA-89AF-DFA82CF0F29C}" type="pres">
      <dgm:prSet presAssocID="{CF7D333A-CA98-40BE-A725-6AA665A10E2B}" presName="sibTrans" presStyleLbl="sibTrans2D1" presStyleIdx="4" presStyleCnt="7"/>
      <dgm:spPr/>
      <dgm:t>
        <a:bodyPr/>
        <a:lstStyle/>
        <a:p>
          <a:endParaRPr lang="ru-RU"/>
        </a:p>
      </dgm:t>
    </dgm:pt>
    <dgm:pt modelId="{9D2BD3B0-721E-44BA-8298-0670E364B9F9}" type="pres">
      <dgm:prSet presAssocID="{CF7D333A-CA98-40BE-A725-6AA665A10E2B}" presName="connectorText" presStyleLbl="sibTrans2D1" presStyleIdx="4" presStyleCnt="7"/>
      <dgm:spPr/>
      <dgm:t>
        <a:bodyPr/>
        <a:lstStyle/>
        <a:p>
          <a:endParaRPr lang="ru-RU"/>
        </a:p>
      </dgm:t>
    </dgm:pt>
    <dgm:pt modelId="{9E0E3941-5344-4BC8-8430-20AEB8BA81EF}" type="pres">
      <dgm:prSet presAssocID="{DF308160-759E-4C73-AB02-053B2337AA8B}" presName="node" presStyleLbl="node1" presStyleIdx="5" presStyleCnt="8" custScaleX="32082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A7894D95-5DCA-4E94-8622-F423B86B19EC}" type="pres">
      <dgm:prSet presAssocID="{EE5018E8-DCDB-416C-A2A6-F4DEB08916F7}" presName="sibTrans" presStyleLbl="sibTrans2D1" presStyleIdx="5" presStyleCnt="7"/>
      <dgm:spPr/>
      <dgm:t>
        <a:bodyPr/>
        <a:lstStyle/>
        <a:p>
          <a:endParaRPr lang="ru-RU"/>
        </a:p>
      </dgm:t>
    </dgm:pt>
    <dgm:pt modelId="{6EDD1105-D54E-4A55-BCFF-B89EA673617F}" type="pres">
      <dgm:prSet presAssocID="{EE5018E8-DCDB-416C-A2A6-F4DEB08916F7}" presName="connectorText" presStyleLbl="sibTrans2D1" presStyleIdx="5" presStyleCnt="7"/>
      <dgm:spPr/>
      <dgm:t>
        <a:bodyPr/>
        <a:lstStyle/>
        <a:p>
          <a:endParaRPr lang="ru-RU"/>
        </a:p>
      </dgm:t>
    </dgm:pt>
    <dgm:pt modelId="{AE62FA44-06C2-4F66-AF35-323C84C7B63C}" type="pres">
      <dgm:prSet presAssocID="{73AE9219-8A09-47C1-A64E-CDBD8AD9F250}" presName="node" presStyleLbl="node1" presStyleIdx="6" presStyleCnt="8" custScaleX="32082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FABCAF46-5FD0-4F4F-ADDD-6EC2DE037F87}" type="pres">
      <dgm:prSet presAssocID="{ADE652D4-E612-4542-A929-1D6742EBB557}" presName="sibTrans" presStyleLbl="sibTrans2D1" presStyleIdx="6" presStyleCnt="7"/>
      <dgm:spPr/>
      <dgm:t>
        <a:bodyPr/>
        <a:lstStyle/>
        <a:p>
          <a:endParaRPr lang="ru-RU"/>
        </a:p>
      </dgm:t>
    </dgm:pt>
    <dgm:pt modelId="{81B8742E-7B37-49AC-B4DB-E8C1DD5E6487}" type="pres">
      <dgm:prSet presAssocID="{ADE652D4-E612-4542-A929-1D6742EBB557}" presName="connectorText" presStyleLbl="sibTrans2D1" presStyleIdx="6" presStyleCnt="7"/>
      <dgm:spPr/>
      <dgm:t>
        <a:bodyPr/>
        <a:lstStyle/>
        <a:p>
          <a:endParaRPr lang="ru-RU"/>
        </a:p>
      </dgm:t>
    </dgm:pt>
    <dgm:pt modelId="{C60809DA-54FB-4D4C-893D-0BE9FFC7C6DD}" type="pres">
      <dgm:prSet presAssocID="{A63A2EC6-1B8A-4D8D-97C0-E8A626A6B382}" presName="node" presStyleLbl="node1" presStyleIdx="7" presStyleCnt="8" custScaleX="324191" custLinFactNeighborX="-2431" custLinFactNeighborY="282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F2A37319-3C20-40C8-8D43-7A95076A8BF5}" srcId="{5AFA1453-940F-481B-873E-429E7363669C}" destId="{152C00D2-4030-4735-B9A1-C9B9D564DA32}" srcOrd="1" destOrd="0" parTransId="{AA32A721-4FA5-4633-93D4-ACE60A062DE9}" sibTransId="{C7771925-DF94-4816-A57F-1D42A76E66A7}"/>
    <dgm:cxn modelId="{5EB1E59E-C344-483F-BD25-431ED2CE4990}" srcId="{5AFA1453-940F-481B-873E-429E7363669C}" destId="{88647D32-63A4-4E7C-AF65-F91C002E5746}" srcOrd="3" destOrd="0" parTransId="{BE693E1A-88A5-46D7-9CE2-8B47BCB80E09}" sibTransId="{F7174588-73D1-47B8-929A-5E07C32AD18A}"/>
    <dgm:cxn modelId="{D055FFB1-3D40-454A-AF8A-D71280C3F23D}" type="presOf" srcId="{5AFA1453-940F-481B-873E-429E7363669C}" destId="{CD41F140-9AB4-4F5B-9396-282E8C074CCC}" srcOrd="0" destOrd="0" presId="urn:microsoft.com/office/officeart/2005/8/layout/process2"/>
    <dgm:cxn modelId="{7650069F-4152-434E-9D80-29D411F386D1}" type="presOf" srcId="{C7771925-DF94-4816-A57F-1D42A76E66A7}" destId="{8BDBCDDC-5095-4FDF-BA1C-CACED92CEC27}" srcOrd="0" destOrd="0" presId="urn:microsoft.com/office/officeart/2005/8/layout/process2"/>
    <dgm:cxn modelId="{973ADCDC-A318-46F0-BBD6-8BA45858E60F}" type="presOf" srcId="{88647D32-63A4-4E7C-AF65-F91C002E5746}" destId="{F3F20CDD-0A53-4D7B-8860-3EE6947BE9A7}" srcOrd="0" destOrd="0" presId="urn:microsoft.com/office/officeart/2005/8/layout/process2"/>
    <dgm:cxn modelId="{1E5174E3-4C74-459C-99A6-53431ED9E4CC}" type="presOf" srcId="{EE5018E8-DCDB-416C-A2A6-F4DEB08916F7}" destId="{A7894D95-5DCA-4E94-8622-F423B86B19EC}" srcOrd="0" destOrd="0" presId="urn:microsoft.com/office/officeart/2005/8/layout/process2"/>
    <dgm:cxn modelId="{0C7DAB98-2C4F-43B3-9A76-0E94B4B0CFB3}" type="presOf" srcId="{A63A2EC6-1B8A-4D8D-97C0-E8A626A6B382}" destId="{C60809DA-54FB-4D4C-893D-0BE9FFC7C6DD}" srcOrd="0" destOrd="0" presId="urn:microsoft.com/office/officeart/2005/8/layout/process2"/>
    <dgm:cxn modelId="{847271DB-7256-42EB-813B-6893FBC1F3CA}" srcId="{5AFA1453-940F-481B-873E-429E7363669C}" destId="{09D28FD0-6226-44DF-B0AE-B0D8A620ECDC}" srcOrd="0" destOrd="0" parTransId="{3D71B62C-E166-45AF-A1B7-492AEFA6B98D}" sibTransId="{58D09F65-8DD4-40D0-B070-BB752D62BB37}"/>
    <dgm:cxn modelId="{4FE19B19-7829-4A42-9805-F3365091914D}" srcId="{5AFA1453-940F-481B-873E-429E7363669C}" destId="{A63A2EC6-1B8A-4D8D-97C0-E8A626A6B382}" srcOrd="7" destOrd="0" parTransId="{F52A268B-A730-4331-8A03-129B9E422258}" sibTransId="{509B1C72-0B80-4571-8135-255A1FCC997D}"/>
    <dgm:cxn modelId="{10FC9C1C-3279-4EE4-AD72-E04E39BB69F0}" type="presOf" srcId="{CF7D333A-CA98-40BE-A725-6AA665A10E2B}" destId="{9D2BD3B0-721E-44BA-8298-0670E364B9F9}" srcOrd="1" destOrd="0" presId="urn:microsoft.com/office/officeart/2005/8/layout/process2"/>
    <dgm:cxn modelId="{EF2AD6FD-FFAE-45BE-9FB4-1B5ABD2CBAD7}" srcId="{5AFA1453-940F-481B-873E-429E7363669C}" destId="{DF308160-759E-4C73-AB02-053B2337AA8B}" srcOrd="5" destOrd="0" parTransId="{6E4A1B5E-8325-4B62-919C-095FCC446F2F}" sibTransId="{EE5018E8-DCDB-416C-A2A6-F4DEB08916F7}"/>
    <dgm:cxn modelId="{6195F1B0-8529-4DEB-9D6C-A76DFA0E6A92}" type="presOf" srcId="{09D28FD0-6226-44DF-B0AE-B0D8A620ECDC}" destId="{B1CBD2CB-6930-42B5-B621-C8F79A5FB2AC}" srcOrd="0" destOrd="0" presId="urn:microsoft.com/office/officeart/2005/8/layout/process2"/>
    <dgm:cxn modelId="{4CDB9119-CE77-445A-96CA-39AF1646EC72}" type="presOf" srcId="{152C00D2-4030-4735-B9A1-C9B9D564DA32}" destId="{0AD67FB6-979F-4DE8-9EFE-7B3C65BC8328}" srcOrd="0" destOrd="0" presId="urn:microsoft.com/office/officeart/2005/8/layout/process2"/>
    <dgm:cxn modelId="{9DBEE30E-453A-49C9-A3D7-83B9F146A778}" type="presOf" srcId="{F7174588-73D1-47B8-929A-5E07C32AD18A}" destId="{D6766909-25B3-44FC-BA17-506DABAE8C4E}" srcOrd="1" destOrd="0" presId="urn:microsoft.com/office/officeart/2005/8/layout/process2"/>
    <dgm:cxn modelId="{BBA59BC8-16AF-4E81-BFAB-B738683754B8}" type="presOf" srcId="{73AE9219-8A09-47C1-A64E-CDBD8AD9F250}" destId="{AE62FA44-06C2-4F66-AF35-323C84C7B63C}" srcOrd="0" destOrd="0" presId="urn:microsoft.com/office/officeart/2005/8/layout/process2"/>
    <dgm:cxn modelId="{3694AF2D-CE5A-4FB4-A2E2-45DCE440D125}" type="presOf" srcId="{58D09F65-8DD4-40D0-B070-BB752D62BB37}" destId="{B6F1E289-8137-4E19-96DD-F51E2A4501D2}" srcOrd="0" destOrd="0" presId="urn:microsoft.com/office/officeart/2005/8/layout/process2"/>
    <dgm:cxn modelId="{721BA09A-AFAA-4FCF-8029-63F3149C6C00}" type="presOf" srcId="{C7771925-DF94-4816-A57F-1D42A76E66A7}" destId="{D19B16BC-D981-4F51-815E-8B211AAA2E10}" srcOrd="1" destOrd="0" presId="urn:microsoft.com/office/officeart/2005/8/layout/process2"/>
    <dgm:cxn modelId="{861C77AC-5DAC-4AFA-9449-C1411EA09D39}" srcId="{5AFA1453-940F-481B-873E-429E7363669C}" destId="{F33879C2-3C7B-492A-A50F-FA5E7C3DB4EA}" srcOrd="2" destOrd="0" parTransId="{4C2367B6-4685-45B4-8D7A-9AE356BB3A60}" sibTransId="{5D420B1A-CB11-4B1A-B346-F91664F39E6F}"/>
    <dgm:cxn modelId="{CF21F8EB-0630-48BE-A149-3C43C6DAB890}" type="presOf" srcId="{EE6E049B-50C2-4E34-8B19-01DCB45D65E5}" destId="{51B3F708-FF3B-421E-8274-86337E1D09FC}" srcOrd="0" destOrd="0" presId="urn:microsoft.com/office/officeart/2005/8/layout/process2"/>
    <dgm:cxn modelId="{D3CD2CA1-5528-490E-9490-C9BD0CB26B75}" type="presOf" srcId="{58D09F65-8DD4-40D0-B070-BB752D62BB37}" destId="{8FB724F1-CF5A-4F54-B162-183F0DEC3D48}" srcOrd="1" destOrd="0" presId="urn:microsoft.com/office/officeart/2005/8/layout/process2"/>
    <dgm:cxn modelId="{E96AC09F-13DD-45DE-A43D-A14279DE2D81}" type="presOf" srcId="{ADE652D4-E612-4542-A929-1D6742EBB557}" destId="{FABCAF46-5FD0-4F4F-ADDD-6EC2DE037F87}" srcOrd="0" destOrd="0" presId="urn:microsoft.com/office/officeart/2005/8/layout/process2"/>
    <dgm:cxn modelId="{4CA52219-76C9-479A-B375-E46D7FACB2F2}" type="presOf" srcId="{ADE652D4-E612-4542-A929-1D6742EBB557}" destId="{81B8742E-7B37-49AC-B4DB-E8C1DD5E6487}" srcOrd="1" destOrd="0" presId="urn:microsoft.com/office/officeart/2005/8/layout/process2"/>
    <dgm:cxn modelId="{8185A55C-BD60-47FA-BF12-4F8E0E6718C2}" srcId="{5AFA1453-940F-481B-873E-429E7363669C}" destId="{73AE9219-8A09-47C1-A64E-CDBD8AD9F250}" srcOrd="6" destOrd="0" parTransId="{7F0AD94D-0CF9-497E-822C-7291194FF73F}" sibTransId="{ADE652D4-E612-4542-A929-1D6742EBB557}"/>
    <dgm:cxn modelId="{CE723C4F-B19A-487D-80A3-A4B43BC7B1E0}" type="presOf" srcId="{EE5018E8-DCDB-416C-A2A6-F4DEB08916F7}" destId="{6EDD1105-D54E-4A55-BCFF-B89EA673617F}" srcOrd="1" destOrd="0" presId="urn:microsoft.com/office/officeart/2005/8/layout/process2"/>
    <dgm:cxn modelId="{30F8B898-02C2-4643-A5D1-0774BC063634}" type="presOf" srcId="{F7174588-73D1-47B8-929A-5E07C32AD18A}" destId="{85F7B11C-D968-46C7-A66E-657D5E76976A}" srcOrd="0" destOrd="0" presId="urn:microsoft.com/office/officeart/2005/8/layout/process2"/>
    <dgm:cxn modelId="{7E151AE3-3C0A-443E-9DC5-9611CE28CFED}" type="presOf" srcId="{DF308160-759E-4C73-AB02-053B2337AA8B}" destId="{9E0E3941-5344-4BC8-8430-20AEB8BA81EF}" srcOrd="0" destOrd="0" presId="urn:microsoft.com/office/officeart/2005/8/layout/process2"/>
    <dgm:cxn modelId="{469BC562-01F6-45AB-A674-32E40BEE88C6}" type="presOf" srcId="{5D420B1A-CB11-4B1A-B346-F91664F39E6F}" destId="{6B9EF389-47CD-49E9-B9AB-39372E0B7BB8}" srcOrd="0" destOrd="0" presId="urn:microsoft.com/office/officeart/2005/8/layout/process2"/>
    <dgm:cxn modelId="{6928D9DF-F13F-4C8A-AB39-F811503C0203}" type="presOf" srcId="{5D420B1A-CB11-4B1A-B346-F91664F39E6F}" destId="{DE50B1AF-0A7F-4213-8EA0-C21D82EAE229}" srcOrd="1" destOrd="0" presId="urn:microsoft.com/office/officeart/2005/8/layout/process2"/>
    <dgm:cxn modelId="{4016A394-1CD3-4AF9-A48E-CF9D737593B4}" type="presOf" srcId="{F33879C2-3C7B-492A-A50F-FA5E7C3DB4EA}" destId="{1511F3A2-46A4-44F5-95C1-1809382D4E51}" srcOrd="0" destOrd="0" presId="urn:microsoft.com/office/officeart/2005/8/layout/process2"/>
    <dgm:cxn modelId="{0F11787B-4B7F-457C-BC30-BF58563252BD}" type="presOf" srcId="{CF7D333A-CA98-40BE-A725-6AA665A10E2B}" destId="{3F1FDC16-0B01-45CA-89AF-DFA82CF0F29C}" srcOrd="0" destOrd="0" presId="urn:microsoft.com/office/officeart/2005/8/layout/process2"/>
    <dgm:cxn modelId="{8C8ED8EB-A726-4C7D-A1D8-6DCB4B859F30}" srcId="{5AFA1453-940F-481B-873E-429E7363669C}" destId="{EE6E049B-50C2-4E34-8B19-01DCB45D65E5}" srcOrd="4" destOrd="0" parTransId="{6BF384F1-B263-4CD0-AC03-09D2C8360F8B}" sibTransId="{CF7D333A-CA98-40BE-A725-6AA665A10E2B}"/>
    <dgm:cxn modelId="{3554EC70-38CE-4A9C-9927-98740BC57385}" type="presParOf" srcId="{CD41F140-9AB4-4F5B-9396-282E8C074CCC}" destId="{B1CBD2CB-6930-42B5-B621-C8F79A5FB2AC}" srcOrd="0" destOrd="0" presId="urn:microsoft.com/office/officeart/2005/8/layout/process2"/>
    <dgm:cxn modelId="{09CA527C-D264-4A7D-A2DE-4873A781D964}" type="presParOf" srcId="{CD41F140-9AB4-4F5B-9396-282E8C074CCC}" destId="{B6F1E289-8137-4E19-96DD-F51E2A4501D2}" srcOrd="1" destOrd="0" presId="urn:microsoft.com/office/officeart/2005/8/layout/process2"/>
    <dgm:cxn modelId="{B7A48E7A-6027-4A70-B2AB-C2E754B3B289}" type="presParOf" srcId="{B6F1E289-8137-4E19-96DD-F51E2A4501D2}" destId="{8FB724F1-CF5A-4F54-B162-183F0DEC3D48}" srcOrd="0" destOrd="0" presId="urn:microsoft.com/office/officeart/2005/8/layout/process2"/>
    <dgm:cxn modelId="{79605750-D5CE-4BBD-AF31-5FCD6EA8D15E}" type="presParOf" srcId="{CD41F140-9AB4-4F5B-9396-282E8C074CCC}" destId="{0AD67FB6-979F-4DE8-9EFE-7B3C65BC8328}" srcOrd="2" destOrd="0" presId="urn:microsoft.com/office/officeart/2005/8/layout/process2"/>
    <dgm:cxn modelId="{06C6399C-C682-48A0-8DFB-CC54FB427C33}" type="presParOf" srcId="{CD41F140-9AB4-4F5B-9396-282E8C074CCC}" destId="{8BDBCDDC-5095-4FDF-BA1C-CACED92CEC27}" srcOrd="3" destOrd="0" presId="urn:microsoft.com/office/officeart/2005/8/layout/process2"/>
    <dgm:cxn modelId="{5D27C66D-2CAF-4C3C-A33C-5270FC55F19B}" type="presParOf" srcId="{8BDBCDDC-5095-4FDF-BA1C-CACED92CEC27}" destId="{D19B16BC-D981-4F51-815E-8B211AAA2E10}" srcOrd="0" destOrd="0" presId="urn:microsoft.com/office/officeart/2005/8/layout/process2"/>
    <dgm:cxn modelId="{9FC355AC-5404-430B-98CA-616D3F556208}" type="presParOf" srcId="{CD41F140-9AB4-4F5B-9396-282E8C074CCC}" destId="{1511F3A2-46A4-44F5-95C1-1809382D4E51}" srcOrd="4" destOrd="0" presId="urn:microsoft.com/office/officeart/2005/8/layout/process2"/>
    <dgm:cxn modelId="{277F722B-1328-4A5A-8B3D-ECBEAF8F791D}" type="presParOf" srcId="{CD41F140-9AB4-4F5B-9396-282E8C074CCC}" destId="{6B9EF389-47CD-49E9-B9AB-39372E0B7BB8}" srcOrd="5" destOrd="0" presId="urn:microsoft.com/office/officeart/2005/8/layout/process2"/>
    <dgm:cxn modelId="{D282C7B4-AD37-4DF6-BD96-0C98A8B1F39D}" type="presParOf" srcId="{6B9EF389-47CD-49E9-B9AB-39372E0B7BB8}" destId="{DE50B1AF-0A7F-4213-8EA0-C21D82EAE229}" srcOrd="0" destOrd="0" presId="urn:microsoft.com/office/officeart/2005/8/layout/process2"/>
    <dgm:cxn modelId="{FD7A3487-06DB-4324-AEC7-C0FC16C4E951}" type="presParOf" srcId="{CD41F140-9AB4-4F5B-9396-282E8C074CCC}" destId="{F3F20CDD-0A53-4D7B-8860-3EE6947BE9A7}" srcOrd="6" destOrd="0" presId="urn:microsoft.com/office/officeart/2005/8/layout/process2"/>
    <dgm:cxn modelId="{D154864D-7835-4B8C-81BA-5545F835756F}" type="presParOf" srcId="{CD41F140-9AB4-4F5B-9396-282E8C074CCC}" destId="{85F7B11C-D968-46C7-A66E-657D5E76976A}" srcOrd="7" destOrd="0" presId="urn:microsoft.com/office/officeart/2005/8/layout/process2"/>
    <dgm:cxn modelId="{191E9B45-3A5B-4884-AB0A-07250DE5277E}" type="presParOf" srcId="{85F7B11C-D968-46C7-A66E-657D5E76976A}" destId="{D6766909-25B3-44FC-BA17-506DABAE8C4E}" srcOrd="0" destOrd="0" presId="urn:microsoft.com/office/officeart/2005/8/layout/process2"/>
    <dgm:cxn modelId="{001BA85D-2D49-4F43-B6F8-F09FE1EEACE5}" type="presParOf" srcId="{CD41F140-9AB4-4F5B-9396-282E8C074CCC}" destId="{51B3F708-FF3B-421E-8274-86337E1D09FC}" srcOrd="8" destOrd="0" presId="urn:microsoft.com/office/officeart/2005/8/layout/process2"/>
    <dgm:cxn modelId="{85DD3BA5-C923-41C7-B9E1-CF00D53B4E79}" type="presParOf" srcId="{CD41F140-9AB4-4F5B-9396-282E8C074CCC}" destId="{3F1FDC16-0B01-45CA-89AF-DFA82CF0F29C}" srcOrd="9" destOrd="0" presId="urn:microsoft.com/office/officeart/2005/8/layout/process2"/>
    <dgm:cxn modelId="{8BD83A37-EB30-4396-BF9B-1CF039729C17}" type="presParOf" srcId="{3F1FDC16-0B01-45CA-89AF-DFA82CF0F29C}" destId="{9D2BD3B0-721E-44BA-8298-0670E364B9F9}" srcOrd="0" destOrd="0" presId="urn:microsoft.com/office/officeart/2005/8/layout/process2"/>
    <dgm:cxn modelId="{81FD89D4-96A3-47A0-B95A-6049371ED17B}" type="presParOf" srcId="{CD41F140-9AB4-4F5B-9396-282E8C074CCC}" destId="{9E0E3941-5344-4BC8-8430-20AEB8BA81EF}" srcOrd="10" destOrd="0" presId="urn:microsoft.com/office/officeart/2005/8/layout/process2"/>
    <dgm:cxn modelId="{A2426178-0D78-465A-9F3B-C1EFC444DA75}" type="presParOf" srcId="{CD41F140-9AB4-4F5B-9396-282E8C074CCC}" destId="{A7894D95-5DCA-4E94-8622-F423B86B19EC}" srcOrd="11" destOrd="0" presId="urn:microsoft.com/office/officeart/2005/8/layout/process2"/>
    <dgm:cxn modelId="{C2986EFC-5B0B-4CB3-9662-7E88222335BA}" type="presParOf" srcId="{A7894D95-5DCA-4E94-8622-F423B86B19EC}" destId="{6EDD1105-D54E-4A55-BCFF-B89EA673617F}" srcOrd="0" destOrd="0" presId="urn:microsoft.com/office/officeart/2005/8/layout/process2"/>
    <dgm:cxn modelId="{26031868-6876-4561-8A27-758118CA5C70}" type="presParOf" srcId="{CD41F140-9AB4-4F5B-9396-282E8C074CCC}" destId="{AE62FA44-06C2-4F66-AF35-323C84C7B63C}" srcOrd="12" destOrd="0" presId="urn:microsoft.com/office/officeart/2005/8/layout/process2"/>
    <dgm:cxn modelId="{8DE2CCB9-AA49-4B7A-9070-B6DA5FE9B88F}" type="presParOf" srcId="{CD41F140-9AB4-4F5B-9396-282E8C074CCC}" destId="{FABCAF46-5FD0-4F4F-ADDD-6EC2DE037F87}" srcOrd="13" destOrd="0" presId="urn:microsoft.com/office/officeart/2005/8/layout/process2"/>
    <dgm:cxn modelId="{A2B4F79E-68B3-4038-89F5-7D73FFDDC05E}" type="presParOf" srcId="{FABCAF46-5FD0-4F4F-ADDD-6EC2DE037F87}" destId="{81B8742E-7B37-49AC-B4DB-E8C1DD5E6487}" srcOrd="0" destOrd="0" presId="urn:microsoft.com/office/officeart/2005/8/layout/process2"/>
    <dgm:cxn modelId="{C5477CC8-0A96-4543-BDD8-C4006ADAB4DD}" type="presParOf" srcId="{CD41F140-9AB4-4F5B-9396-282E8C074CCC}" destId="{C60809DA-54FB-4D4C-893D-0BE9FFC7C6DD}" srcOrd="14" destOrd="0" presId="urn:microsoft.com/office/officeart/2005/8/layout/process2"/>
  </dgm:cxnLst>
  <dgm:bg/>
  <dgm:whole/>
  <dgm:extLst>
    <a:ext uri="http://schemas.microsoft.com/office/drawing/2008/diagram">
      <dsp:dataModelExt xmlns:dsp="http://schemas.microsoft.com/office/drawing/2008/diagram" xmlns="" relId="rId3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2">
  <dgm:title val=""/>
  <dgm:desc val=""/>
  <dgm:catLst>
    <dgm:cat type="process" pri="1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Flow">
    <dgm:varLst>
      <dgm:resizeHandles val="exact"/>
    </dgm:varLst>
    <dgm:alg type="lin">
      <dgm:param type="linDir" val="fromT"/>
    </dgm:alg>
    <dgm:shape xmlns:r="http://schemas.openxmlformats.org/officeDocument/2006/relationships" r:blip="">
      <dgm:adjLst/>
    </dgm:shape>
    <dgm:presOf/>
    <dgm:constrLst>
      <dgm:constr type="h" for="ch" ptType="node" refType="h"/>
      <dgm:constr type="h" for="ch" ptType="sibTrans" refType="h" refFor="ch" refPtType="node" fact="0.5"/>
      <dgm:constr type="w" for="ch" ptType="node" op="equ"/>
      <dgm:constr type="primFontSz" for="ch" ptType="node" op="equ" val="65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choose name="Name0">
          <dgm:if name="Name1" axis="root des" ptType="all node" func="maxDepth" op="gt" val="1">
            <dgm:alg type="tx">
              <dgm:param type="parTxLTRAlign" val="l"/>
              <dgm:param type="parTxRTLAlign" val="r"/>
              <dgm:param type="txAnchorVertCh" val="mid"/>
            </dgm:alg>
          </dgm:if>
          <dgm:else name="Name2">
            <dgm:alg type="tx"/>
          </dgm:else>
        </dgm:choose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w" refType="h" fact="1.8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w" val="NaN" fact="4" max="NaN"/>
          <dgm:rule type="primFontSz" val="5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w" refType="h" fact="0.9"/>
            <dgm:constr type="connDist"/>
            <dgm:constr type="wArH" refType="w" fact="0.5"/>
            <dgm:constr type="hArH" refType="w"/>
            <dgm:constr type="stemThick" refType="w" fact="0.6"/>
            <dgm:constr type="begPad" refType="connDist" fact="0.125"/>
            <dgm:constr type="endPad" refType="connDist" fact="0.125"/>
          </dgm:constrLst>
          <dgm:ruleLst/>
          <dgm:layoutNode name="connectorText">
            <dgm:alg type="tx">
              <dgm:param type="autoTxRot" val="upr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3">
  <dgm:title val=""/>
  <dgm:desc val=""/>
  <dgm:catLst>
    <dgm:cat type="simple" pri="103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lnNode1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dk1"/>
      </a:fontRef>
    </dgm:style>
  </dgm:styleLbl>
  <dgm:styleLbl name="venn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rawings/_rels/drawing3.xml.rels><?xml version="1.0" encoding="UTF-8" standalone="yes"?>
<Relationships xmlns="http://schemas.openxmlformats.org/package/2006/relationships"><Relationship Id="rId2" Type="http://schemas.openxmlformats.org/officeDocument/2006/relationships/image" Target="../media/image10.png"/><Relationship Id="rId1" Type="http://schemas.openxmlformats.org/officeDocument/2006/relationships/image" Target="../media/image9.png"/></Relationships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0.17544</cdr:x>
      <cdr:y>0.24324</cdr:y>
    </cdr:from>
    <cdr:to>
      <cdr:x>0.82925</cdr:x>
      <cdr:y>0.4054</cdr:y>
    </cdr:to>
    <cdr:sp macro="" textlink="">
      <cdr:nvSpPr>
        <cdr:cNvPr id="2" name="TextBox 1"/>
        <cdr:cNvSpPr txBox="1"/>
      </cdr:nvSpPr>
      <cdr:spPr bwMode="auto">
        <a:xfrm xmlns:a="http://schemas.openxmlformats.org/drawingml/2006/main">
          <a:off x="714380" y="642942"/>
          <a:ext cx="2662293" cy="42862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Lucida Sans Unicode"/>
            </a:defRPr>
          </a:lvl1pPr>
          <a:lvl2pPr marL="457200" indent="0">
            <a:defRPr sz="1100">
              <a:latin typeface="Lucida Sans Unicode"/>
            </a:defRPr>
          </a:lvl2pPr>
          <a:lvl3pPr marL="914400" indent="0">
            <a:defRPr sz="1100">
              <a:latin typeface="Lucida Sans Unicode"/>
            </a:defRPr>
          </a:lvl3pPr>
          <a:lvl4pPr marL="1371600" indent="0">
            <a:defRPr sz="1100">
              <a:latin typeface="Lucida Sans Unicode"/>
            </a:defRPr>
          </a:lvl4pPr>
          <a:lvl5pPr marL="1828800" indent="0">
            <a:defRPr sz="1100">
              <a:latin typeface="Lucida Sans Unicode"/>
            </a:defRPr>
          </a:lvl5pPr>
          <a:lvl6pPr marL="2286000" indent="0">
            <a:defRPr sz="1100">
              <a:latin typeface="Lucida Sans Unicode"/>
            </a:defRPr>
          </a:lvl6pPr>
          <a:lvl7pPr marL="2743200" indent="0">
            <a:defRPr sz="1100">
              <a:latin typeface="Lucida Sans Unicode"/>
            </a:defRPr>
          </a:lvl7pPr>
          <a:lvl8pPr marL="3200400" indent="0">
            <a:defRPr sz="1100">
              <a:latin typeface="Lucida Sans Unicode"/>
            </a:defRPr>
          </a:lvl8pPr>
          <a:lvl9pPr marL="3657600" indent="0">
            <a:defRPr sz="1100">
              <a:latin typeface="Lucida Sans Unicode"/>
            </a:defRPr>
          </a:lvl9pPr>
        </a:lstStyle>
        <a:p xmlns:a="http://schemas.openxmlformats.org/drawingml/2006/main">
          <a:r>
            <a:rPr lang="en-US" sz="1200" b="1" dirty="0">
              <a:latin typeface="Times New Roman" pitchFamily="18" charset="0"/>
              <a:cs typeface="Times New Roman" pitchFamily="18" charset="0"/>
            </a:rPr>
            <a:t>I</a:t>
          </a:r>
          <a:r>
            <a:rPr lang="en-US" sz="1200" b="1" baseline="0" dirty="0">
              <a:latin typeface="Times New Roman" pitchFamily="18" charset="0"/>
              <a:cs typeface="Times New Roman" pitchFamily="18" charset="0"/>
            </a:rPr>
            <a:t>     </a:t>
          </a:r>
          <a:r>
            <a:rPr lang="en-US" sz="1100" b="1" baseline="0" dirty="0">
              <a:latin typeface="Times New Roman" pitchFamily="18" charset="0"/>
              <a:cs typeface="Times New Roman" pitchFamily="18" charset="0"/>
            </a:rPr>
            <a:t> </a:t>
          </a:r>
          <a:r>
            <a:rPr lang="en-US" sz="1200" b="1" baseline="0" dirty="0">
              <a:latin typeface="Times New Roman" pitchFamily="18" charset="0"/>
              <a:cs typeface="Times New Roman" pitchFamily="18" charset="0"/>
            </a:rPr>
            <a:t>              </a:t>
          </a:r>
          <a:r>
            <a:rPr lang="ru-RU" sz="1200" b="1" baseline="0" dirty="0" smtClean="0">
              <a:latin typeface="Times New Roman" pitchFamily="18" charset="0"/>
              <a:cs typeface="Times New Roman" pitchFamily="18" charset="0"/>
            </a:rPr>
            <a:t>    </a:t>
          </a:r>
          <a:r>
            <a:rPr lang="en-US" sz="1200" b="1" baseline="0" dirty="0" smtClean="0">
              <a:latin typeface="Times New Roman" pitchFamily="18" charset="0"/>
              <a:cs typeface="Times New Roman" pitchFamily="18" charset="0"/>
            </a:rPr>
            <a:t>   </a:t>
          </a:r>
          <a:r>
            <a:rPr lang="en-US" sz="1200" b="1" baseline="0" dirty="0">
              <a:latin typeface="Times New Roman" pitchFamily="18" charset="0"/>
              <a:cs typeface="Times New Roman" pitchFamily="18" charset="0"/>
            </a:rPr>
            <a:t>II                     III</a:t>
          </a:r>
          <a:endParaRPr lang="ru-RU" sz="1200" b="1" dirty="0">
            <a:latin typeface="Times New Roman" pitchFamily="18" charset="0"/>
            <a:cs typeface="Times New Roman" pitchFamily="18" charset="0"/>
          </a:endParaRP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0.12963</cdr:x>
      <cdr:y>0.03644</cdr:y>
    </cdr:from>
    <cdr:to>
      <cdr:x>0.83745</cdr:x>
      <cdr:y>0.8468</cdr:y>
    </cdr:to>
    <cdr:grpSp>
      <cdr:nvGrpSpPr>
        <cdr:cNvPr id="15" name="Группа 14"/>
        <cdr:cNvGrpSpPr/>
      </cdr:nvGrpSpPr>
      <cdr:grpSpPr>
        <a:xfrm xmlns:a="http://schemas.openxmlformats.org/drawingml/2006/main">
          <a:off x="434623" y="67683"/>
          <a:ext cx="2373179" cy="1505142"/>
          <a:chOff x="600075" y="124619"/>
          <a:chExt cx="3276600" cy="2770981"/>
        </a:xfrm>
      </cdr:grpSpPr>
      <cdr:sp macro="" textlink="">
        <cdr:nvSpPr>
          <cdr:cNvPr id="3" name="Полилиния 2"/>
          <cdr:cNvSpPr/>
        </cdr:nvSpPr>
        <cdr:spPr>
          <a:xfrm xmlns:a="http://schemas.openxmlformats.org/drawingml/2006/main">
            <a:off x="600075" y="609600"/>
            <a:ext cx="1142999" cy="2286000"/>
          </a:xfrm>
          <a:custGeom xmlns:a="http://schemas.openxmlformats.org/drawingml/2006/main">
            <a:avLst/>
            <a:gdLst>
              <a:gd name="connsiteX0" fmla="*/ 0 w 1228725"/>
              <a:gd name="connsiteY0" fmla="*/ 0 h 2524125"/>
              <a:gd name="connsiteX1" fmla="*/ 714375 w 1228725"/>
              <a:gd name="connsiteY1" fmla="*/ 2152650 h 2524125"/>
              <a:gd name="connsiteX2" fmla="*/ 1228725 w 1228725"/>
              <a:gd name="connsiteY2" fmla="*/ 2228850 h 2524125"/>
              <a:gd name="connsiteX3" fmla="*/ 1228725 w 1228725"/>
              <a:gd name="connsiteY3" fmla="*/ 2228850 h 2524125"/>
            </a:gdLst>
            <a:ahLst/>
            <a:cxnLst>
              <a:cxn ang="0">
                <a:pos x="connsiteX0" y="connsiteY0"/>
              </a:cxn>
              <a:cxn ang="0">
                <a:pos x="connsiteX1" y="connsiteY1"/>
              </a:cxn>
              <a:cxn ang="0">
                <a:pos x="connsiteX2" y="connsiteY2"/>
              </a:cxn>
              <a:cxn ang="0">
                <a:pos x="connsiteX3" y="connsiteY3"/>
              </a:cxn>
            </a:cxnLst>
            <a:rect l="l" t="t" r="r" b="b"/>
            <a:pathLst>
              <a:path w="1228725" h="2524125">
                <a:moveTo>
                  <a:pt x="0" y="0"/>
                </a:moveTo>
                <a:cubicBezTo>
                  <a:pt x="254794" y="890587"/>
                  <a:pt x="509588" y="1781175"/>
                  <a:pt x="714375" y="2152650"/>
                </a:cubicBezTo>
                <a:cubicBezTo>
                  <a:pt x="919162" y="2524125"/>
                  <a:pt x="1228725" y="2228850"/>
                  <a:pt x="1228725" y="2228850"/>
                </a:cubicBezTo>
                <a:lnTo>
                  <a:pt x="1228725" y="2228850"/>
                </a:lnTo>
              </a:path>
            </a:pathLst>
          </a:custGeom>
          <a:ln xmlns:a="http://schemas.openxmlformats.org/drawingml/2006/main" w="12700">
            <a:solidFill>
              <a:srgbClr val="FFC000"/>
            </a:solidFill>
          </a:ln>
        </cdr:spPr>
        <cdr:style>
          <a:lnRef xmlns:a="http://schemas.openxmlformats.org/drawingml/2006/main" idx="1">
            <a:schemeClr val="accent1"/>
          </a:lnRef>
          <a:fillRef xmlns:a="http://schemas.openxmlformats.org/drawingml/2006/main" idx="0">
            <a:schemeClr val="accent1"/>
          </a:fillRef>
          <a:effectRef xmlns:a="http://schemas.openxmlformats.org/drawingml/2006/main" idx="0">
            <a:schemeClr val="accent1"/>
          </a:effectRef>
          <a:fontRef xmlns:a="http://schemas.openxmlformats.org/drawingml/2006/main" idx="minor">
            <a:schemeClr val="tx1"/>
          </a:fontRef>
        </cdr:style>
        <cdr:txBody>
          <a:bodyPr xmlns:a="http://schemas.openxmlformats.org/drawingml/2006/main"/>
          <a:lstStyle xmlns:a="http://schemas.openxmlformats.org/drawingml/2006/main"/>
          <a:p xmlns:a="http://schemas.openxmlformats.org/drawingml/2006/main">
            <a:endParaRPr lang="ru-RU"/>
          </a:p>
        </cdr:txBody>
      </cdr:sp>
      <cdr:sp macro="" textlink="">
        <cdr:nvSpPr>
          <cdr:cNvPr id="6" name="Полилиния 5"/>
          <cdr:cNvSpPr/>
        </cdr:nvSpPr>
        <cdr:spPr>
          <a:xfrm xmlns:a="http://schemas.openxmlformats.org/drawingml/2006/main">
            <a:off x="685800" y="609600"/>
            <a:ext cx="2914650" cy="2203450"/>
          </a:xfrm>
          <a:custGeom xmlns:a="http://schemas.openxmlformats.org/drawingml/2006/main">
            <a:avLst/>
            <a:gdLst>
              <a:gd name="connsiteX0" fmla="*/ 0 w 2981325"/>
              <a:gd name="connsiteY0" fmla="*/ 1181100 h 2203450"/>
              <a:gd name="connsiteX1" fmla="*/ 752475 w 2981325"/>
              <a:gd name="connsiteY1" fmla="*/ 133350 h 2203450"/>
              <a:gd name="connsiteX2" fmla="*/ 1924050 w 2981325"/>
              <a:gd name="connsiteY2" fmla="*/ 1981200 h 2203450"/>
              <a:gd name="connsiteX3" fmla="*/ 2609850 w 2981325"/>
              <a:gd name="connsiteY3" fmla="*/ 1466850 h 2203450"/>
              <a:gd name="connsiteX4" fmla="*/ 2981325 w 2981325"/>
              <a:gd name="connsiteY4" fmla="*/ 2066925 h 2203450"/>
              <a:gd name="connsiteX5" fmla="*/ 2981325 w 2981325"/>
              <a:gd name="connsiteY5" fmla="*/ 2066925 h 2203450"/>
            </a:gdLst>
            <a:ahLst/>
            <a:cxnLst>
              <a:cxn ang="0">
                <a:pos x="connsiteX0" y="connsiteY0"/>
              </a:cxn>
              <a:cxn ang="0">
                <a:pos x="connsiteX1" y="connsiteY1"/>
              </a:cxn>
              <a:cxn ang="0">
                <a:pos x="connsiteX2" y="connsiteY2"/>
              </a:cxn>
              <a:cxn ang="0">
                <a:pos x="connsiteX3" y="connsiteY3"/>
              </a:cxn>
              <a:cxn ang="0">
                <a:pos x="connsiteX4" y="connsiteY4"/>
              </a:cxn>
              <a:cxn ang="0">
                <a:pos x="connsiteX5" y="connsiteY5"/>
              </a:cxn>
            </a:cxnLst>
            <a:rect l="l" t="t" r="r" b="b"/>
            <a:pathLst>
              <a:path w="2981325" h="2203450">
                <a:moveTo>
                  <a:pt x="0" y="1181100"/>
                </a:moveTo>
                <a:cubicBezTo>
                  <a:pt x="215900" y="590550"/>
                  <a:pt x="431800" y="0"/>
                  <a:pt x="752475" y="133350"/>
                </a:cubicBezTo>
                <a:cubicBezTo>
                  <a:pt x="1073150" y="266700"/>
                  <a:pt x="1614487" y="1758950"/>
                  <a:pt x="1924050" y="1981200"/>
                </a:cubicBezTo>
                <a:cubicBezTo>
                  <a:pt x="2233613" y="2203450"/>
                  <a:pt x="2433638" y="1452563"/>
                  <a:pt x="2609850" y="1466850"/>
                </a:cubicBezTo>
                <a:cubicBezTo>
                  <a:pt x="2786062" y="1481137"/>
                  <a:pt x="2981325" y="2066925"/>
                  <a:pt x="2981325" y="2066925"/>
                </a:cubicBezTo>
                <a:lnTo>
                  <a:pt x="2981325" y="2066925"/>
                </a:lnTo>
              </a:path>
            </a:pathLst>
          </a:custGeom>
          <a:ln xmlns:a="http://schemas.openxmlformats.org/drawingml/2006/main" w="12700">
            <a:solidFill>
              <a:srgbClr val="C00000"/>
            </a:solidFill>
          </a:ln>
        </cdr:spPr>
        <cdr:style>
          <a:lnRef xmlns:a="http://schemas.openxmlformats.org/drawingml/2006/main" idx="1">
            <a:schemeClr val="accent1"/>
          </a:lnRef>
          <a:fillRef xmlns:a="http://schemas.openxmlformats.org/drawingml/2006/main" idx="0">
            <a:schemeClr val="accent1"/>
          </a:fillRef>
          <a:effectRef xmlns:a="http://schemas.openxmlformats.org/drawingml/2006/main" idx="0">
            <a:schemeClr val="accent1"/>
          </a:effectRef>
          <a:fontRef xmlns:a="http://schemas.openxmlformats.org/drawingml/2006/main" idx="minor">
            <a:schemeClr val="tx1"/>
          </a:fontRef>
        </cdr:style>
        <cdr:txBody>
          <a:bodyPr xmlns:a="http://schemas.openxmlformats.org/drawingml/2006/main"/>
          <a:lstStyle xmlns:a="http://schemas.openxmlformats.org/drawingml/2006/main"/>
          <a:p xmlns:a="http://schemas.openxmlformats.org/drawingml/2006/main">
            <a:endParaRPr lang="ru-RU"/>
          </a:p>
        </cdr:txBody>
      </cdr:sp>
      <cdr:sp macro="" textlink="">
        <cdr:nvSpPr>
          <cdr:cNvPr id="7" name="Полилиния 6"/>
          <cdr:cNvSpPr/>
        </cdr:nvSpPr>
        <cdr:spPr>
          <a:xfrm xmlns:a="http://schemas.openxmlformats.org/drawingml/2006/main">
            <a:off x="1009650" y="958850"/>
            <a:ext cx="2843212" cy="1489075"/>
          </a:xfrm>
          <a:custGeom xmlns:a="http://schemas.openxmlformats.org/drawingml/2006/main">
            <a:avLst/>
            <a:gdLst>
              <a:gd name="connsiteX0" fmla="*/ 0 w 2843212"/>
              <a:gd name="connsiteY0" fmla="*/ 1489075 h 1489075"/>
              <a:gd name="connsiteX1" fmla="*/ 1695450 w 2843212"/>
              <a:gd name="connsiteY1" fmla="*/ 50800 h 1489075"/>
              <a:gd name="connsiteX2" fmla="*/ 2676525 w 2843212"/>
              <a:gd name="connsiteY2" fmla="*/ 1184275 h 1489075"/>
              <a:gd name="connsiteX3" fmla="*/ 2695575 w 2843212"/>
              <a:gd name="connsiteY3" fmla="*/ 1184275 h 1489075"/>
            </a:gdLst>
            <a:ahLst/>
            <a:cxnLst>
              <a:cxn ang="0">
                <a:pos x="connsiteX0" y="connsiteY0"/>
              </a:cxn>
              <a:cxn ang="0">
                <a:pos x="connsiteX1" y="connsiteY1"/>
              </a:cxn>
              <a:cxn ang="0">
                <a:pos x="connsiteX2" y="connsiteY2"/>
              </a:cxn>
              <a:cxn ang="0">
                <a:pos x="connsiteX3" y="connsiteY3"/>
              </a:cxn>
            </a:cxnLst>
            <a:rect l="l" t="t" r="r" b="b"/>
            <a:pathLst>
              <a:path w="2843212" h="1489075">
                <a:moveTo>
                  <a:pt x="0" y="1489075"/>
                </a:moveTo>
                <a:cubicBezTo>
                  <a:pt x="624681" y="795337"/>
                  <a:pt x="1249363" y="101600"/>
                  <a:pt x="1695450" y="50800"/>
                </a:cubicBezTo>
                <a:cubicBezTo>
                  <a:pt x="2141537" y="0"/>
                  <a:pt x="2509838" y="995363"/>
                  <a:pt x="2676525" y="1184275"/>
                </a:cubicBezTo>
                <a:cubicBezTo>
                  <a:pt x="2843212" y="1373187"/>
                  <a:pt x="2769393" y="1278731"/>
                  <a:pt x="2695575" y="1184275"/>
                </a:cubicBezTo>
              </a:path>
            </a:pathLst>
          </a:custGeom>
          <a:ln xmlns:a="http://schemas.openxmlformats.org/drawingml/2006/main" w="12700">
            <a:solidFill>
              <a:srgbClr val="00B050"/>
            </a:solidFill>
          </a:ln>
        </cdr:spPr>
        <cdr:style>
          <a:lnRef xmlns:a="http://schemas.openxmlformats.org/drawingml/2006/main" idx="1">
            <a:schemeClr val="accent1"/>
          </a:lnRef>
          <a:fillRef xmlns:a="http://schemas.openxmlformats.org/drawingml/2006/main" idx="0">
            <a:schemeClr val="accent1"/>
          </a:fillRef>
          <a:effectRef xmlns:a="http://schemas.openxmlformats.org/drawingml/2006/main" idx="0">
            <a:schemeClr val="accent1"/>
          </a:effectRef>
          <a:fontRef xmlns:a="http://schemas.openxmlformats.org/drawingml/2006/main" idx="minor">
            <a:schemeClr val="tx1"/>
          </a:fontRef>
        </cdr:style>
        <cdr:txBody>
          <a:bodyPr xmlns:a="http://schemas.openxmlformats.org/drawingml/2006/main"/>
          <a:lstStyle xmlns:a="http://schemas.openxmlformats.org/drawingml/2006/main"/>
          <a:p xmlns:a="http://schemas.openxmlformats.org/drawingml/2006/main">
            <a:endParaRPr lang="ru-RU"/>
          </a:p>
        </cdr:txBody>
      </cdr:sp>
      <cdr:sp macro="" textlink="">
        <cdr:nvSpPr>
          <cdr:cNvPr id="8" name="Полилиния 7"/>
          <cdr:cNvSpPr/>
        </cdr:nvSpPr>
        <cdr:spPr>
          <a:xfrm xmlns:a="http://schemas.openxmlformats.org/drawingml/2006/main">
            <a:off x="1428751" y="1095376"/>
            <a:ext cx="2447924" cy="1657350"/>
          </a:xfrm>
          <a:custGeom xmlns:a="http://schemas.openxmlformats.org/drawingml/2006/main">
            <a:avLst/>
            <a:gdLst>
              <a:gd name="connsiteX0" fmla="*/ 0 w 2105025"/>
              <a:gd name="connsiteY0" fmla="*/ 1047750 h 1047750"/>
              <a:gd name="connsiteX1" fmla="*/ 885825 w 2105025"/>
              <a:gd name="connsiteY1" fmla="*/ 323850 h 1047750"/>
              <a:gd name="connsiteX2" fmla="*/ 1390650 w 2105025"/>
              <a:gd name="connsiteY2" fmla="*/ 571500 h 1047750"/>
              <a:gd name="connsiteX3" fmla="*/ 2105025 w 2105025"/>
              <a:gd name="connsiteY3" fmla="*/ 0 h 1047750"/>
            </a:gdLst>
            <a:ahLst/>
            <a:cxnLst>
              <a:cxn ang="0">
                <a:pos x="connsiteX0" y="connsiteY0"/>
              </a:cxn>
              <a:cxn ang="0">
                <a:pos x="connsiteX1" y="connsiteY1"/>
              </a:cxn>
              <a:cxn ang="0">
                <a:pos x="connsiteX2" y="connsiteY2"/>
              </a:cxn>
              <a:cxn ang="0">
                <a:pos x="connsiteX3" y="connsiteY3"/>
              </a:cxn>
            </a:cxnLst>
            <a:rect l="l" t="t" r="r" b="b"/>
            <a:pathLst>
              <a:path w="2105025" h="1047750">
                <a:moveTo>
                  <a:pt x="0" y="1047750"/>
                </a:moveTo>
                <a:cubicBezTo>
                  <a:pt x="327025" y="725487"/>
                  <a:pt x="654050" y="403225"/>
                  <a:pt x="885825" y="323850"/>
                </a:cubicBezTo>
                <a:cubicBezTo>
                  <a:pt x="1117600" y="244475"/>
                  <a:pt x="1187450" y="625475"/>
                  <a:pt x="1390650" y="571500"/>
                </a:cubicBezTo>
                <a:cubicBezTo>
                  <a:pt x="1593850" y="517525"/>
                  <a:pt x="1849437" y="258762"/>
                  <a:pt x="2105025" y="0"/>
                </a:cubicBezTo>
              </a:path>
            </a:pathLst>
          </a:custGeom>
          <a:ln xmlns:a="http://schemas.openxmlformats.org/drawingml/2006/main">
            <a:solidFill>
              <a:srgbClr val="002060"/>
            </a:solidFill>
          </a:ln>
        </cdr:spPr>
        <cdr:style>
          <a:lnRef xmlns:a="http://schemas.openxmlformats.org/drawingml/2006/main" idx="1">
            <a:schemeClr val="accent1"/>
          </a:lnRef>
          <a:fillRef xmlns:a="http://schemas.openxmlformats.org/drawingml/2006/main" idx="0">
            <a:schemeClr val="accent1"/>
          </a:fillRef>
          <a:effectRef xmlns:a="http://schemas.openxmlformats.org/drawingml/2006/main" idx="0">
            <a:schemeClr val="accent1"/>
          </a:effectRef>
          <a:fontRef xmlns:a="http://schemas.openxmlformats.org/drawingml/2006/main" idx="minor">
            <a:schemeClr val="tx1"/>
          </a:fontRef>
        </cdr:style>
        <cdr:txBody>
          <a:bodyPr xmlns:a="http://schemas.openxmlformats.org/drawingml/2006/main"/>
          <a:lstStyle xmlns:a="http://schemas.openxmlformats.org/drawingml/2006/main"/>
          <a:p xmlns:a="http://schemas.openxmlformats.org/drawingml/2006/main">
            <a:endParaRPr lang="ru-RU"/>
          </a:p>
        </cdr:txBody>
      </cdr:sp>
      <cdr:sp macro="" textlink="">
        <cdr:nvSpPr>
          <cdr:cNvPr id="9" name="Полилиния 8"/>
          <cdr:cNvSpPr/>
        </cdr:nvSpPr>
        <cdr:spPr>
          <a:xfrm xmlns:a="http://schemas.openxmlformats.org/drawingml/2006/main">
            <a:off x="3028950" y="1714500"/>
            <a:ext cx="809625" cy="1035050"/>
          </a:xfrm>
          <a:custGeom xmlns:a="http://schemas.openxmlformats.org/drawingml/2006/main">
            <a:avLst/>
            <a:gdLst>
              <a:gd name="connsiteX0" fmla="*/ 0 w 809625"/>
              <a:gd name="connsiteY0" fmla="*/ 781050 h 1035050"/>
              <a:gd name="connsiteX1" fmla="*/ 361950 w 809625"/>
              <a:gd name="connsiteY1" fmla="*/ 904875 h 1035050"/>
              <a:gd name="connsiteX2" fmla="*/ 809625 w 809625"/>
              <a:gd name="connsiteY2" fmla="*/ 0 h 1035050"/>
              <a:gd name="connsiteX3" fmla="*/ 809625 w 809625"/>
              <a:gd name="connsiteY3" fmla="*/ 0 h 1035050"/>
            </a:gdLst>
            <a:ahLst/>
            <a:cxnLst>
              <a:cxn ang="0">
                <a:pos x="connsiteX0" y="connsiteY0"/>
              </a:cxn>
              <a:cxn ang="0">
                <a:pos x="connsiteX1" y="connsiteY1"/>
              </a:cxn>
              <a:cxn ang="0">
                <a:pos x="connsiteX2" y="connsiteY2"/>
              </a:cxn>
              <a:cxn ang="0">
                <a:pos x="connsiteX3" y="connsiteY3"/>
              </a:cxn>
            </a:cxnLst>
            <a:rect l="l" t="t" r="r" b="b"/>
            <a:pathLst>
              <a:path w="809625" h="1035050">
                <a:moveTo>
                  <a:pt x="0" y="781050"/>
                </a:moveTo>
                <a:cubicBezTo>
                  <a:pt x="113506" y="908050"/>
                  <a:pt x="227013" y="1035050"/>
                  <a:pt x="361950" y="904875"/>
                </a:cubicBezTo>
                <a:cubicBezTo>
                  <a:pt x="496887" y="774700"/>
                  <a:pt x="809625" y="0"/>
                  <a:pt x="809625" y="0"/>
                </a:cubicBezTo>
                <a:lnTo>
                  <a:pt x="809625" y="0"/>
                </a:lnTo>
              </a:path>
            </a:pathLst>
          </a:custGeom>
          <a:ln xmlns:a="http://schemas.openxmlformats.org/drawingml/2006/main" w="12700">
            <a:solidFill>
              <a:srgbClr val="00B0F0"/>
            </a:solidFill>
          </a:ln>
        </cdr:spPr>
        <cdr:style>
          <a:lnRef xmlns:a="http://schemas.openxmlformats.org/drawingml/2006/main" idx="1">
            <a:schemeClr val="accent1"/>
          </a:lnRef>
          <a:fillRef xmlns:a="http://schemas.openxmlformats.org/drawingml/2006/main" idx="0">
            <a:schemeClr val="accent1"/>
          </a:fillRef>
          <a:effectRef xmlns:a="http://schemas.openxmlformats.org/drawingml/2006/main" idx="0">
            <a:schemeClr val="accent1"/>
          </a:effectRef>
          <a:fontRef xmlns:a="http://schemas.openxmlformats.org/drawingml/2006/main" idx="minor">
            <a:schemeClr val="tx1"/>
          </a:fontRef>
        </cdr:style>
        <cdr:txBody>
          <a:bodyPr xmlns:a="http://schemas.openxmlformats.org/drawingml/2006/main"/>
          <a:lstStyle xmlns:a="http://schemas.openxmlformats.org/drawingml/2006/main"/>
          <a:p xmlns:a="http://schemas.openxmlformats.org/drawingml/2006/main">
            <a:endParaRPr lang="ru-RU"/>
          </a:p>
        </cdr:txBody>
      </cdr:sp>
      <cdr:sp macro="" textlink="">
        <cdr:nvSpPr>
          <cdr:cNvPr id="11" name="Прямая соединительная линия 10"/>
          <cdr:cNvSpPr/>
        </cdr:nvSpPr>
        <cdr:spPr>
          <a:xfrm xmlns:a="http://schemas.openxmlformats.org/drawingml/2006/main" rot="5400000" flipH="1" flipV="1">
            <a:off x="33338" y="1481137"/>
            <a:ext cx="2714626" cy="1589"/>
          </a:xfrm>
          <a:prstGeom xmlns:a="http://schemas.openxmlformats.org/drawingml/2006/main" prst="line">
            <a:avLst/>
          </a:prstGeom>
        </cdr:spPr>
        <cdr:style>
          <a:lnRef xmlns:a="http://schemas.openxmlformats.org/drawingml/2006/main" idx="1">
            <a:schemeClr val="dk1"/>
          </a:lnRef>
          <a:fillRef xmlns:a="http://schemas.openxmlformats.org/drawingml/2006/main" idx="0">
            <a:schemeClr val="dk1"/>
          </a:fillRef>
          <a:effectRef xmlns:a="http://schemas.openxmlformats.org/drawingml/2006/main" idx="0">
            <a:schemeClr val="dk1"/>
          </a:effectRef>
          <a:fontRef xmlns:a="http://schemas.openxmlformats.org/drawingml/2006/main" idx="minor">
            <a:schemeClr val="tx1"/>
          </a:fontRef>
        </cdr:style>
        <cdr:txBody>
          <a:bodyPr xmlns:a="http://schemas.openxmlformats.org/drawingml/2006/main"/>
          <a:lstStyle xmlns:a="http://schemas.openxmlformats.org/drawingml/2006/main"/>
          <a:p xmlns:a="http://schemas.openxmlformats.org/drawingml/2006/main">
            <a:endParaRPr lang="ru-RU"/>
          </a:p>
        </cdr:txBody>
      </cdr:sp>
      <cdr:sp macro="" textlink="">
        <cdr:nvSpPr>
          <cdr:cNvPr id="13" name="Прямая соединительная линия 12"/>
          <cdr:cNvSpPr/>
        </cdr:nvSpPr>
        <cdr:spPr>
          <a:xfrm xmlns:a="http://schemas.openxmlformats.org/drawingml/2006/main" rot="5400000" flipH="1" flipV="1">
            <a:off x="1581151" y="1485899"/>
            <a:ext cx="2705100" cy="1589"/>
          </a:xfrm>
          <a:prstGeom xmlns:a="http://schemas.openxmlformats.org/drawingml/2006/main" prst="line">
            <a:avLst/>
          </a:prstGeom>
        </cdr:spPr>
        <cdr:style>
          <a:lnRef xmlns:a="http://schemas.openxmlformats.org/drawingml/2006/main" idx="1">
            <a:schemeClr val="dk1"/>
          </a:lnRef>
          <a:fillRef xmlns:a="http://schemas.openxmlformats.org/drawingml/2006/main" idx="0">
            <a:schemeClr val="dk1"/>
          </a:fillRef>
          <a:effectRef xmlns:a="http://schemas.openxmlformats.org/drawingml/2006/main" idx="0">
            <a:schemeClr val="dk1"/>
          </a:effectRef>
          <a:fontRef xmlns:a="http://schemas.openxmlformats.org/drawingml/2006/main" idx="minor">
            <a:schemeClr val="tx1"/>
          </a:fontRef>
        </cdr:style>
        <cdr:txBody>
          <a:bodyPr xmlns:a="http://schemas.openxmlformats.org/drawingml/2006/main"/>
          <a:lstStyle xmlns:a="http://schemas.openxmlformats.org/drawingml/2006/main"/>
          <a:p xmlns:a="http://schemas.openxmlformats.org/drawingml/2006/main">
            <a:endParaRPr lang="ru-RU"/>
          </a:p>
        </cdr:txBody>
      </cdr:sp>
      <cdr:sp macro="" textlink="">
        <cdr:nvSpPr>
          <cdr:cNvPr id="14" name="TextBox 13"/>
          <cdr:cNvSpPr txBox="1"/>
        </cdr:nvSpPr>
        <cdr:spPr>
          <a:xfrm xmlns:a="http://schemas.openxmlformats.org/drawingml/2006/main">
            <a:off x="695325" y="219075"/>
            <a:ext cx="2933700" cy="304800"/>
          </a:xfrm>
          <a:prstGeom xmlns:a="http://schemas.openxmlformats.org/drawingml/2006/main" prst="rect">
            <a:avLst/>
          </a:prstGeom>
        </cdr:spPr>
        <cdr:txBody>
          <a:bodyPr xmlns:a="http://schemas.openxmlformats.org/drawingml/2006/main" wrap="none" rtlCol="0"/>
          <a:lstStyle xmlns:a="http://schemas.openxmlformats.org/drawingml/2006/main"/>
          <a:p xmlns:a="http://schemas.openxmlformats.org/drawingml/2006/main">
            <a:r>
              <a:rPr lang="ru-RU" sz="1000" b="1" baseline="0" dirty="0">
                <a:latin typeface="Times New Roman" pitchFamily="18" charset="0"/>
                <a:cs typeface="Times New Roman" pitchFamily="18" charset="0"/>
              </a:rPr>
              <a:t>    </a:t>
            </a:r>
            <a:r>
              <a:rPr lang="en-US" sz="1000" b="1" baseline="0" dirty="0">
                <a:latin typeface="Times New Roman" pitchFamily="18" charset="0"/>
                <a:cs typeface="Times New Roman" pitchFamily="18" charset="0"/>
              </a:rPr>
              <a:t>I                    II   </a:t>
            </a:r>
            <a:r>
              <a:rPr lang="ru-RU" sz="1000" b="1" baseline="0" dirty="0">
                <a:latin typeface="Times New Roman" pitchFamily="18" charset="0"/>
                <a:cs typeface="Times New Roman" pitchFamily="18" charset="0"/>
              </a:rPr>
              <a:t>      </a:t>
            </a:r>
            <a:r>
              <a:rPr lang="en-US" sz="1000" b="1" baseline="0" dirty="0">
                <a:latin typeface="Times New Roman" pitchFamily="18" charset="0"/>
                <a:cs typeface="Times New Roman" pitchFamily="18" charset="0"/>
              </a:rPr>
              <a:t> </a:t>
            </a:r>
            <a:r>
              <a:rPr lang="ru-RU" sz="1000" b="1" baseline="0" dirty="0">
                <a:latin typeface="Times New Roman" pitchFamily="18" charset="0"/>
                <a:cs typeface="Times New Roman" pitchFamily="18" charset="0"/>
              </a:rPr>
              <a:t>            </a:t>
            </a:r>
            <a:r>
              <a:rPr lang="en-US" sz="1000" b="1" baseline="0" dirty="0">
                <a:latin typeface="Times New Roman" pitchFamily="18" charset="0"/>
                <a:cs typeface="Times New Roman" pitchFamily="18" charset="0"/>
              </a:rPr>
              <a:t>   III</a:t>
            </a:r>
            <a:endParaRPr lang="ru-RU" sz="1000" b="1" baseline="0" dirty="0">
              <a:latin typeface="Times New Roman" pitchFamily="18" charset="0"/>
              <a:cs typeface="Times New Roman" pitchFamily="18" charset="0"/>
            </a:endParaRPr>
          </a:p>
        </cdr:txBody>
      </cdr:sp>
    </cdr:grp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0.18406</cdr:x>
      <cdr:y>0.10358</cdr:y>
    </cdr:from>
    <cdr:to>
      <cdr:x>0.95598</cdr:x>
      <cdr:y>0.10391</cdr:y>
    </cdr:to>
    <cdr:sp macro="" textlink="">
      <cdr:nvSpPr>
        <cdr:cNvPr id="6" name="Прямая соединительная линия 5"/>
        <cdr:cNvSpPr/>
      </cdr:nvSpPr>
      <cdr:spPr>
        <a:xfrm xmlns:a="http://schemas.openxmlformats.org/drawingml/2006/main">
          <a:off x="487385" y="178566"/>
          <a:ext cx="2044005" cy="569"/>
        </a:xfrm>
        <a:prstGeom xmlns:a="http://schemas.openxmlformats.org/drawingml/2006/main" prst="line">
          <a:avLst/>
        </a:prstGeom>
      </cdr:spPr>
      <cdr:style>
        <a:lnRef xmlns:a="http://schemas.openxmlformats.org/drawingml/2006/main" idx="1">
          <a:schemeClr val="dk1"/>
        </a:lnRef>
        <a:fillRef xmlns:a="http://schemas.openxmlformats.org/drawingml/2006/main" idx="0">
          <a:schemeClr val="dk1"/>
        </a:fillRef>
        <a:effectRef xmlns:a="http://schemas.openxmlformats.org/drawingml/2006/main" idx="0">
          <a:schemeClr val="dk1"/>
        </a:effectRef>
        <a:fontRef xmlns:a="http://schemas.openxmlformats.org/drawingml/2006/main" idx="minor">
          <a:schemeClr val="tx1"/>
        </a:fontRef>
      </cdr:style>
      <cdr:txBody>
        <a:bodyPr xmlns:a="http://schemas.openxmlformats.org/drawingml/2006/main"/>
        <a:lstStyle xmlns:a="http://schemas.openxmlformats.org/drawingml/2006/main"/>
        <a:p xmlns:a="http://schemas.openxmlformats.org/drawingml/2006/main">
          <a:endParaRPr lang="ru-RU"/>
        </a:p>
      </cdr:txBody>
    </cdr:sp>
  </cdr:relSizeAnchor>
  <cdr:relSizeAnchor xmlns:cdr="http://schemas.openxmlformats.org/drawingml/2006/chartDrawing">
    <cdr:from>
      <cdr:x>0.16648</cdr:x>
      <cdr:y>0.63814</cdr:y>
    </cdr:from>
    <cdr:to>
      <cdr:x>0.97543</cdr:x>
      <cdr:y>0.65967</cdr:y>
    </cdr:to>
    <cdr:sp macro="" textlink="">
      <cdr:nvSpPr>
        <cdr:cNvPr id="9" name="Прямая соединительная линия 8"/>
        <cdr:cNvSpPr/>
      </cdr:nvSpPr>
      <cdr:spPr>
        <a:xfrm xmlns:a="http://schemas.openxmlformats.org/drawingml/2006/main" flipV="1">
          <a:off x="440827" y="1100161"/>
          <a:ext cx="2142059" cy="37118"/>
        </a:xfrm>
        <a:prstGeom xmlns:a="http://schemas.openxmlformats.org/drawingml/2006/main" prst="line">
          <a:avLst/>
        </a:prstGeom>
      </cdr:spPr>
      <cdr:style>
        <a:lnRef xmlns:a="http://schemas.openxmlformats.org/drawingml/2006/main" idx="1">
          <a:schemeClr val="dk1"/>
        </a:lnRef>
        <a:fillRef xmlns:a="http://schemas.openxmlformats.org/drawingml/2006/main" idx="0">
          <a:schemeClr val="dk1"/>
        </a:fillRef>
        <a:effectRef xmlns:a="http://schemas.openxmlformats.org/drawingml/2006/main" idx="0">
          <a:schemeClr val="dk1"/>
        </a:effectRef>
        <a:fontRef xmlns:a="http://schemas.openxmlformats.org/drawingml/2006/main" idx="minor">
          <a:schemeClr val="tx1"/>
        </a:fontRef>
      </cdr:style>
      <cdr:txBody>
        <a:bodyPr xmlns:a="http://schemas.openxmlformats.org/drawingml/2006/main"/>
        <a:lstStyle xmlns:a="http://schemas.openxmlformats.org/drawingml/2006/main"/>
        <a:p xmlns:a="http://schemas.openxmlformats.org/drawingml/2006/main">
          <a:endParaRPr lang="ru-RU"/>
        </a:p>
      </cdr:txBody>
    </cdr:sp>
  </cdr:relSizeAnchor>
  <cdr:relSizeAnchor xmlns:cdr="http://schemas.openxmlformats.org/drawingml/2006/chartDrawing">
    <cdr:from>
      <cdr:x>0.68464</cdr:x>
      <cdr:y>0.09437</cdr:y>
    </cdr:from>
    <cdr:to>
      <cdr:x>0.97658</cdr:x>
      <cdr:y>0.20243</cdr:y>
    </cdr:to>
    <cdr:pic>
      <cdr:nvPicPr>
        <cdr:cNvPr id="4" name="chart"/>
        <cdr:cNvPicPr>
          <a:picLocks xmlns:a="http://schemas.openxmlformats.org/drawingml/2006/main" noChangeAspect="1"/>
        </cdr:cNvPicPr>
      </cdr:nvPicPr>
      <cdr:blipFill>
        <a:blip xmlns:a="http://schemas.openxmlformats.org/drawingml/2006/main" xmlns:r="http://schemas.openxmlformats.org/officeDocument/2006/relationships" r:embed="rId1"/>
        <a:stretch xmlns:a="http://schemas.openxmlformats.org/drawingml/2006/main">
          <a:fillRect/>
        </a:stretch>
      </cdr:blipFill>
      <cdr:spPr>
        <a:xfrm xmlns:a="http://schemas.openxmlformats.org/drawingml/2006/main">
          <a:off x="2510643" y="200447"/>
          <a:ext cx="1070580" cy="229527"/>
        </a:xfrm>
        <a:prstGeom xmlns:a="http://schemas.openxmlformats.org/drawingml/2006/main" prst="rect">
          <a:avLst/>
        </a:prstGeom>
      </cdr:spPr>
    </cdr:pic>
  </cdr:relSizeAnchor>
  <cdr:relSizeAnchor xmlns:cdr="http://schemas.openxmlformats.org/drawingml/2006/chartDrawing">
    <cdr:from>
      <cdr:x>0.63784</cdr:x>
      <cdr:y>0.53777</cdr:y>
    </cdr:from>
    <cdr:to>
      <cdr:x>0.97025</cdr:x>
      <cdr:y>0.64582</cdr:y>
    </cdr:to>
    <cdr:pic>
      <cdr:nvPicPr>
        <cdr:cNvPr id="5" name="chart"/>
        <cdr:cNvPicPr>
          <a:picLocks xmlns:a="http://schemas.openxmlformats.org/drawingml/2006/main" noChangeAspect="1"/>
        </cdr:cNvPicPr>
      </cdr:nvPicPr>
      <cdr:blipFill>
        <a:blip xmlns:a="http://schemas.openxmlformats.org/drawingml/2006/main" xmlns:r="http://schemas.openxmlformats.org/officeDocument/2006/relationships" r:embed="rId2"/>
        <a:stretch xmlns:a="http://schemas.openxmlformats.org/drawingml/2006/main">
          <a:fillRect/>
        </a:stretch>
      </cdr:blipFill>
      <cdr:spPr>
        <a:xfrm xmlns:a="http://schemas.openxmlformats.org/drawingml/2006/main">
          <a:off x="2339029" y="1142271"/>
          <a:ext cx="1218990" cy="229506"/>
        </a:xfrm>
        <a:prstGeom xmlns:a="http://schemas.openxmlformats.org/drawingml/2006/main" prst="rect">
          <a:avLst/>
        </a:prstGeom>
      </cdr:spPr>
    </cdr:pic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0.73483</cdr:x>
      <cdr:y>0.11371</cdr:y>
    </cdr:from>
    <cdr:to>
      <cdr:x>0.77202</cdr:x>
      <cdr:y>0.21782</cdr:y>
    </cdr:to>
    <cdr:grpSp>
      <cdr:nvGrpSpPr>
        <cdr:cNvPr id="4" name="Группа 3"/>
        <cdr:cNvGrpSpPr/>
      </cdr:nvGrpSpPr>
      <cdr:grpSpPr>
        <a:xfrm xmlns:a="http://schemas.openxmlformats.org/drawingml/2006/main">
          <a:off x="1857136" y="198710"/>
          <a:ext cx="93990" cy="181935"/>
          <a:chOff x="2131043" y="221023"/>
          <a:chExt cx="107861" cy="202361"/>
        </a:xfrm>
      </cdr:grpSpPr>
      <cdr:sp macro="" textlink="">
        <cdr:nvSpPr>
          <cdr:cNvPr id="7" name="Прямая соединительная линия 6"/>
          <cdr:cNvSpPr/>
        </cdr:nvSpPr>
        <cdr:spPr>
          <a:xfrm xmlns:a="http://schemas.openxmlformats.org/drawingml/2006/main">
            <a:off x="2142013" y="422257"/>
            <a:ext cx="96891" cy="1127"/>
          </a:xfrm>
          <a:prstGeom xmlns:a="http://schemas.openxmlformats.org/drawingml/2006/main" prst="line">
            <a:avLst/>
          </a:prstGeom>
          <a:ln xmlns:a="http://schemas.openxmlformats.org/drawingml/2006/main">
            <a:solidFill>
              <a:schemeClr val="tx1">
                <a:lumMod val="50000"/>
                <a:lumOff val="50000"/>
              </a:schemeClr>
            </a:solidFill>
          </a:ln>
        </cdr:spPr>
        <cdr:style>
          <a:lnRef xmlns:a="http://schemas.openxmlformats.org/drawingml/2006/main" idx="1">
            <a:schemeClr val="accent1"/>
          </a:lnRef>
          <a:fillRef xmlns:a="http://schemas.openxmlformats.org/drawingml/2006/main" idx="0">
            <a:schemeClr val="accent1"/>
          </a:fillRef>
          <a:effectRef xmlns:a="http://schemas.openxmlformats.org/drawingml/2006/main" idx="0">
            <a:schemeClr val="accent1"/>
          </a:effectRef>
          <a:fontRef xmlns:a="http://schemas.openxmlformats.org/drawingml/2006/main" idx="minor">
            <a:schemeClr val="tx1"/>
          </a:fontRef>
        </cdr:style>
        <cdr:txBody>
          <a:bodyPr xmlns:a="http://schemas.openxmlformats.org/drawingml/2006/main"/>
          <a:lstStyle xmlns:a="http://schemas.openxmlformats.org/drawingml/2006/main"/>
          <a:p xmlns:a="http://schemas.openxmlformats.org/drawingml/2006/main">
            <a:endParaRPr lang="ru-RU"/>
          </a:p>
        </cdr:txBody>
      </cdr:sp>
      <cdr:sp macro="" textlink="">
        <cdr:nvSpPr>
          <cdr:cNvPr id="11" name="Прямая соединительная линия 10"/>
          <cdr:cNvSpPr/>
        </cdr:nvSpPr>
        <cdr:spPr>
          <a:xfrm xmlns:a="http://schemas.openxmlformats.org/drawingml/2006/main">
            <a:off x="2131043" y="221023"/>
            <a:ext cx="100139" cy="1127"/>
          </a:xfrm>
          <a:prstGeom xmlns:a="http://schemas.openxmlformats.org/drawingml/2006/main" prst="line">
            <a:avLst/>
          </a:prstGeom>
        </cdr:spPr>
        <cdr:style>
          <a:lnRef xmlns:a="http://schemas.openxmlformats.org/drawingml/2006/main" idx="1">
            <a:schemeClr val="dk1"/>
          </a:lnRef>
          <a:fillRef xmlns:a="http://schemas.openxmlformats.org/drawingml/2006/main" idx="0">
            <a:schemeClr val="dk1"/>
          </a:fillRef>
          <a:effectRef xmlns:a="http://schemas.openxmlformats.org/drawingml/2006/main" idx="0">
            <a:schemeClr val="dk1"/>
          </a:effectRef>
          <a:fontRef xmlns:a="http://schemas.openxmlformats.org/drawingml/2006/main" idx="minor">
            <a:schemeClr val="tx1"/>
          </a:fontRef>
        </cdr:style>
        <cdr:txBody>
          <a:bodyPr xmlns:a="http://schemas.openxmlformats.org/drawingml/2006/main"/>
          <a:lstStyle xmlns:a="http://schemas.openxmlformats.org/drawingml/2006/main"/>
          <a:p xmlns:a="http://schemas.openxmlformats.org/drawingml/2006/main">
            <a:endParaRPr lang="ru-RU"/>
          </a:p>
        </cdr:txBody>
      </cdr:sp>
    </cdr:grp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E163A0-A844-4043-BC4B-68CC0A2012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17</Pages>
  <Words>7592</Words>
  <Characters>43280</Characters>
  <Application>Microsoft Office Word</Application>
  <DocSecurity>0</DocSecurity>
  <Lines>360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50771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</dc:creator>
  <cp:lastModifiedBy>1</cp:lastModifiedBy>
  <cp:revision>5</cp:revision>
  <cp:lastPrinted>2012-09-26T08:46:00Z</cp:lastPrinted>
  <dcterms:created xsi:type="dcterms:W3CDTF">2012-09-28T07:45:00Z</dcterms:created>
  <dcterms:modified xsi:type="dcterms:W3CDTF">2012-09-28T10:21:00Z</dcterms:modified>
</cp:coreProperties>
</file>